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10AFD" w14:textId="54F46348" w:rsidR="00D871BC" w:rsidRPr="006456F1" w:rsidRDefault="006456F1">
      <w:pPr>
        <w:rPr>
          <w:rFonts w:asciiTheme="majorHAnsi" w:hAnsiTheme="majorHAnsi"/>
          <w:b/>
          <w:bCs/>
          <w:color w:val="24272A"/>
          <w:shd w:val="clear" w:color="auto" w:fill="FFFFFF"/>
        </w:rPr>
      </w:pPr>
      <w:r w:rsidRPr="006456F1">
        <w:rPr>
          <w:rFonts w:asciiTheme="majorHAnsi" w:hAnsiTheme="majorHAnsi"/>
          <w:b/>
          <w:bCs/>
          <w:color w:val="24272A"/>
          <w:shd w:val="clear" w:color="auto" w:fill="FFFFFF"/>
        </w:rPr>
        <w:t>Do you agree with aligning the maximum unladen mass with the ATS or is there a more appropriate response to overcome the regulatory barriers identified? Please provide evidence to support your position.</w:t>
      </w:r>
    </w:p>
    <w:p w14:paraId="3E919839" w14:textId="72899F17" w:rsidR="006456F1" w:rsidRPr="006456F1" w:rsidRDefault="006456F1">
      <w:pPr>
        <w:rPr>
          <w:rFonts w:asciiTheme="majorHAnsi" w:hAnsiTheme="majorHAnsi"/>
          <w:b/>
          <w:bCs/>
          <w:color w:val="24272A"/>
          <w:shd w:val="clear" w:color="auto" w:fill="FFFFFF"/>
        </w:rPr>
      </w:pPr>
    </w:p>
    <w:p w14:paraId="24A93423" w14:textId="584FF1CD" w:rsidR="006456F1" w:rsidRDefault="000C5908">
      <w:pPr>
        <w:rPr>
          <w:rFonts w:asciiTheme="majorHAnsi" w:hAnsiTheme="majorHAnsi"/>
          <w:color w:val="24272A"/>
          <w:shd w:val="clear" w:color="auto" w:fill="FFFFFF"/>
        </w:rPr>
      </w:pPr>
      <w:r>
        <w:rPr>
          <w:rFonts w:asciiTheme="majorHAnsi" w:hAnsiTheme="majorHAnsi"/>
          <w:color w:val="24272A"/>
          <w:shd w:val="clear" w:color="auto" w:fill="FFFFFF"/>
        </w:rPr>
        <w:t>COTA NSW supports the proposed</w:t>
      </w:r>
      <w:r w:rsidR="001F4931">
        <w:rPr>
          <w:rFonts w:asciiTheme="majorHAnsi" w:hAnsiTheme="majorHAnsi"/>
          <w:color w:val="24272A"/>
          <w:shd w:val="clear" w:color="auto" w:fill="FFFFFF"/>
        </w:rPr>
        <w:t xml:space="preserve"> alignment of the maximum unladen mass</w:t>
      </w:r>
      <w:r w:rsidR="00CC67AB">
        <w:rPr>
          <w:rFonts w:asciiTheme="majorHAnsi" w:hAnsiTheme="majorHAnsi"/>
          <w:color w:val="24272A"/>
          <w:shd w:val="clear" w:color="auto" w:fill="FFFFFF"/>
        </w:rPr>
        <w:t xml:space="preserve"> of 170kg</w:t>
      </w:r>
      <w:r w:rsidR="001F4931">
        <w:rPr>
          <w:rFonts w:asciiTheme="majorHAnsi" w:hAnsiTheme="majorHAnsi"/>
          <w:color w:val="24272A"/>
          <w:shd w:val="clear" w:color="auto" w:fill="FFFFFF"/>
        </w:rPr>
        <w:t xml:space="preserve"> with</w:t>
      </w:r>
      <w:r w:rsidR="001D530D">
        <w:rPr>
          <w:rFonts w:asciiTheme="majorHAnsi" w:hAnsiTheme="majorHAnsi"/>
          <w:color w:val="24272A"/>
          <w:shd w:val="clear" w:color="auto" w:fill="FFFFFF"/>
        </w:rPr>
        <w:t xml:space="preserve">in </w:t>
      </w:r>
      <w:r w:rsidR="00B24152">
        <w:rPr>
          <w:rFonts w:asciiTheme="majorHAnsi" w:hAnsiTheme="majorHAnsi"/>
          <w:color w:val="24272A"/>
          <w:shd w:val="clear" w:color="auto" w:fill="FFFFFF"/>
        </w:rPr>
        <w:t>standard created and monitored by</w:t>
      </w:r>
      <w:r w:rsidR="001F4931">
        <w:rPr>
          <w:rFonts w:asciiTheme="majorHAnsi" w:hAnsiTheme="majorHAnsi"/>
          <w:color w:val="24272A"/>
          <w:shd w:val="clear" w:color="auto" w:fill="FFFFFF"/>
        </w:rPr>
        <w:t xml:space="preserve"> the ATS</w:t>
      </w:r>
      <w:r w:rsidR="00CC67AB">
        <w:rPr>
          <w:rFonts w:asciiTheme="majorHAnsi" w:hAnsiTheme="majorHAnsi"/>
          <w:color w:val="24272A"/>
          <w:shd w:val="clear" w:color="auto" w:fill="FFFFFF"/>
        </w:rPr>
        <w:t>.  This would ensure all jurisdictions</w:t>
      </w:r>
      <w:r w:rsidR="00E90169">
        <w:rPr>
          <w:rFonts w:asciiTheme="majorHAnsi" w:hAnsiTheme="majorHAnsi"/>
          <w:color w:val="24272A"/>
          <w:shd w:val="clear" w:color="auto" w:fill="FFFFFF"/>
        </w:rPr>
        <w:t xml:space="preserve"> adhere to the same weight restrictions, which would support </w:t>
      </w:r>
      <w:r w:rsidR="00696E4F">
        <w:rPr>
          <w:rFonts w:asciiTheme="majorHAnsi" w:hAnsiTheme="majorHAnsi"/>
          <w:color w:val="24272A"/>
          <w:shd w:val="clear" w:color="auto" w:fill="FFFFFF"/>
        </w:rPr>
        <w:t>inter-state sales an</w:t>
      </w:r>
      <w:r w:rsidR="00600D61">
        <w:rPr>
          <w:rFonts w:asciiTheme="majorHAnsi" w:hAnsiTheme="majorHAnsi"/>
          <w:color w:val="24272A"/>
          <w:shd w:val="clear" w:color="auto" w:fill="FFFFFF"/>
        </w:rPr>
        <w:t>d the users of these devices in they move to a different</w:t>
      </w:r>
      <w:r w:rsidR="00812DE9">
        <w:rPr>
          <w:rFonts w:asciiTheme="majorHAnsi" w:hAnsiTheme="majorHAnsi"/>
          <w:color w:val="24272A"/>
          <w:shd w:val="clear" w:color="auto" w:fill="FFFFFF"/>
        </w:rPr>
        <w:t xml:space="preserve"> </w:t>
      </w:r>
      <w:r w:rsidR="0065433D">
        <w:rPr>
          <w:rFonts w:asciiTheme="majorHAnsi" w:hAnsiTheme="majorHAnsi"/>
          <w:color w:val="24272A"/>
          <w:shd w:val="clear" w:color="auto" w:fill="FFFFFF"/>
        </w:rPr>
        <w:t xml:space="preserve">geographical area.  </w:t>
      </w:r>
      <w:r w:rsidR="00993D7E">
        <w:rPr>
          <w:rFonts w:asciiTheme="majorHAnsi" w:hAnsiTheme="majorHAnsi"/>
          <w:color w:val="24272A"/>
          <w:shd w:val="clear" w:color="auto" w:fill="FFFFFF"/>
        </w:rPr>
        <w:t>Additionally, the current work that is being undertaken by the A</w:t>
      </w:r>
      <w:r w:rsidR="00BB614B">
        <w:rPr>
          <w:rFonts w:asciiTheme="majorHAnsi" w:hAnsiTheme="majorHAnsi"/>
          <w:color w:val="24272A"/>
          <w:shd w:val="clear" w:color="auto" w:fill="FFFFFF"/>
        </w:rPr>
        <w:t xml:space="preserve">ustroads </w:t>
      </w:r>
      <w:r w:rsidR="009047E0">
        <w:rPr>
          <w:rFonts w:asciiTheme="majorHAnsi" w:hAnsiTheme="majorHAnsi"/>
          <w:color w:val="24272A"/>
          <w:shd w:val="clear" w:color="auto" w:fill="FFFFFF"/>
        </w:rPr>
        <w:t xml:space="preserve">for the adoption of a national </w:t>
      </w:r>
      <w:r w:rsidR="00916532">
        <w:rPr>
          <w:rFonts w:asciiTheme="majorHAnsi" w:hAnsiTheme="majorHAnsi"/>
          <w:color w:val="24272A"/>
          <w:shd w:val="clear" w:color="auto" w:fill="FFFFFF"/>
        </w:rPr>
        <w:t xml:space="preserve">technical specification </w:t>
      </w:r>
      <w:r w:rsidR="00844202">
        <w:rPr>
          <w:rFonts w:asciiTheme="majorHAnsi" w:hAnsiTheme="majorHAnsi"/>
          <w:color w:val="24272A"/>
          <w:shd w:val="clear" w:color="auto" w:fill="FFFFFF"/>
        </w:rPr>
        <w:t>for motorised mobility devices (MMD).</w:t>
      </w:r>
    </w:p>
    <w:p w14:paraId="3FED0310" w14:textId="029B56E1" w:rsidR="00757104" w:rsidRDefault="00757104">
      <w:pPr>
        <w:rPr>
          <w:rFonts w:asciiTheme="majorHAnsi" w:hAnsiTheme="majorHAnsi"/>
          <w:color w:val="24272A"/>
          <w:shd w:val="clear" w:color="auto" w:fill="FFFFFF"/>
        </w:rPr>
      </w:pPr>
    </w:p>
    <w:p w14:paraId="1C60B5F4" w14:textId="6BF47C28" w:rsidR="00757104" w:rsidRDefault="00757104">
      <w:pPr>
        <w:rPr>
          <w:rFonts w:asciiTheme="majorHAnsi" w:hAnsiTheme="majorHAnsi"/>
          <w:color w:val="24272A"/>
          <w:shd w:val="clear" w:color="auto" w:fill="FFFFFF"/>
        </w:rPr>
      </w:pPr>
      <w:r>
        <w:rPr>
          <w:rFonts w:asciiTheme="majorHAnsi" w:hAnsiTheme="majorHAnsi"/>
          <w:color w:val="24272A"/>
          <w:shd w:val="clear" w:color="auto" w:fill="FFFFFF"/>
        </w:rPr>
        <w:t>The increase of the</w:t>
      </w:r>
      <w:r w:rsidR="00063EC0">
        <w:rPr>
          <w:rFonts w:asciiTheme="majorHAnsi" w:hAnsiTheme="majorHAnsi"/>
          <w:color w:val="24272A"/>
          <w:shd w:val="clear" w:color="auto" w:fill="FFFFFF"/>
        </w:rPr>
        <w:t xml:space="preserve"> unladen mass limit for mobility scooters to 170kg would recognise the changing needs of users of these devices, particularly for those that are </w:t>
      </w:r>
      <w:r w:rsidR="004C45DC">
        <w:rPr>
          <w:rFonts w:asciiTheme="majorHAnsi" w:hAnsiTheme="majorHAnsi"/>
          <w:color w:val="24272A"/>
          <w:shd w:val="clear" w:color="auto" w:fill="FFFFFF"/>
        </w:rPr>
        <w:t>required to carry medical equipment</w:t>
      </w:r>
      <w:r w:rsidR="00C25125">
        <w:rPr>
          <w:rFonts w:asciiTheme="majorHAnsi" w:hAnsiTheme="majorHAnsi"/>
          <w:color w:val="24272A"/>
          <w:shd w:val="clear" w:color="auto" w:fill="FFFFFF"/>
        </w:rPr>
        <w:t xml:space="preserve">.  </w:t>
      </w:r>
      <w:r w:rsidR="00A82F93">
        <w:rPr>
          <w:rFonts w:asciiTheme="majorHAnsi" w:hAnsiTheme="majorHAnsi"/>
          <w:color w:val="24272A"/>
          <w:shd w:val="clear" w:color="auto" w:fill="FFFFFF"/>
        </w:rPr>
        <w:t xml:space="preserve">A survey conducted by the Physical Disability Council of NSW (PDCN) in November 2019 found that </w:t>
      </w:r>
      <w:r w:rsidR="00E8582A">
        <w:rPr>
          <w:rFonts w:asciiTheme="majorHAnsi" w:hAnsiTheme="majorHAnsi"/>
          <w:color w:val="24272A"/>
          <w:shd w:val="clear" w:color="auto" w:fill="FFFFFF"/>
        </w:rPr>
        <w:t>88</w:t>
      </w:r>
      <w:r w:rsidR="00EF4B77">
        <w:rPr>
          <w:rFonts w:asciiTheme="majorHAnsi" w:hAnsiTheme="majorHAnsi"/>
          <w:color w:val="24272A"/>
          <w:shd w:val="clear" w:color="auto" w:fill="FFFFFF"/>
        </w:rPr>
        <w:t xml:space="preserve">% of respondents felt that it was important </w:t>
      </w:r>
      <w:r w:rsidR="00E44068">
        <w:rPr>
          <w:rFonts w:asciiTheme="majorHAnsi" w:hAnsiTheme="majorHAnsi"/>
          <w:color w:val="24272A"/>
          <w:shd w:val="clear" w:color="auto" w:fill="FFFFFF"/>
        </w:rPr>
        <w:t xml:space="preserve">that unladen mass standards should be consistent across all states and half </w:t>
      </w:r>
      <w:r w:rsidR="00B37F37">
        <w:rPr>
          <w:rFonts w:asciiTheme="majorHAnsi" w:hAnsiTheme="majorHAnsi"/>
          <w:color w:val="24272A"/>
          <w:shd w:val="clear" w:color="auto" w:fill="FFFFFF"/>
        </w:rPr>
        <w:t xml:space="preserve">agreed with the need to increase </w:t>
      </w:r>
      <w:r w:rsidR="00CC2D9C">
        <w:rPr>
          <w:rFonts w:asciiTheme="majorHAnsi" w:hAnsiTheme="majorHAnsi"/>
          <w:color w:val="24272A"/>
          <w:shd w:val="clear" w:color="auto" w:fill="FFFFFF"/>
        </w:rPr>
        <w:t>m</w:t>
      </w:r>
      <w:r w:rsidR="00886A0F">
        <w:rPr>
          <w:rFonts w:asciiTheme="majorHAnsi" w:hAnsiTheme="majorHAnsi"/>
          <w:color w:val="24272A"/>
          <w:shd w:val="clear" w:color="auto" w:fill="FFFFFF"/>
        </w:rPr>
        <w:t>ass limit, with 30% neutral on this subject.</w:t>
      </w:r>
    </w:p>
    <w:p w14:paraId="39B5F134" w14:textId="13F31A5B" w:rsidR="00566D1B" w:rsidRDefault="00566D1B">
      <w:pPr>
        <w:rPr>
          <w:rFonts w:asciiTheme="majorHAnsi" w:hAnsiTheme="majorHAnsi"/>
          <w:color w:val="24272A"/>
          <w:shd w:val="clear" w:color="auto" w:fill="FFFFFF"/>
        </w:rPr>
      </w:pPr>
    </w:p>
    <w:p w14:paraId="1CB1513B" w14:textId="41784117" w:rsidR="006456F1" w:rsidRPr="006456F1" w:rsidRDefault="00566D1B">
      <w:pPr>
        <w:rPr>
          <w:rFonts w:asciiTheme="majorHAnsi" w:hAnsiTheme="majorHAnsi"/>
          <w:color w:val="24272A"/>
          <w:shd w:val="clear" w:color="auto" w:fill="FFFFFF"/>
        </w:rPr>
      </w:pPr>
      <w:r>
        <w:rPr>
          <w:rFonts w:asciiTheme="majorHAnsi" w:hAnsiTheme="majorHAnsi"/>
          <w:color w:val="24272A"/>
          <w:shd w:val="clear" w:color="auto" w:fill="FFFFFF"/>
        </w:rPr>
        <w:t xml:space="preserve">As raised in the discussion paper, there is a slight increase in </w:t>
      </w:r>
      <w:r w:rsidR="00D72DCA">
        <w:rPr>
          <w:rFonts w:asciiTheme="majorHAnsi" w:hAnsiTheme="majorHAnsi"/>
          <w:color w:val="24272A"/>
          <w:shd w:val="clear" w:color="auto" w:fill="FFFFFF"/>
        </w:rPr>
        <w:t>k</w:t>
      </w:r>
      <w:r w:rsidR="00D43913">
        <w:rPr>
          <w:rFonts w:asciiTheme="majorHAnsi" w:hAnsiTheme="majorHAnsi"/>
          <w:color w:val="24272A"/>
          <w:shd w:val="clear" w:color="auto" w:fill="FFFFFF"/>
        </w:rPr>
        <w:t>i</w:t>
      </w:r>
      <w:r w:rsidR="00D72DCA">
        <w:rPr>
          <w:rFonts w:asciiTheme="majorHAnsi" w:hAnsiTheme="majorHAnsi"/>
          <w:color w:val="24272A"/>
          <w:shd w:val="clear" w:color="auto" w:fill="FFFFFF"/>
        </w:rPr>
        <w:t xml:space="preserve">netic </w:t>
      </w:r>
      <w:r w:rsidR="00D43913">
        <w:rPr>
          <w:rFonts w:asciiTheme="majorHAnsi" w:hAnsiTheme="majorHAnsi"/>
          <w:color w:val="24272A"/>
          <w:shd w:val="clear" w:color="auto" w:fill="FFFFFF"/>
        </w:rPr>
        <w:t xml:space="preserve">energy and potential harm </w:t>
      </w:r>
      <w:r w:rsidR="00B03B71">
        <w:rPr>
          <w:rFonts w:asciiTheme="majorHAnsi" w:hAnsiTheme="majorHAnsi"/>
          <w:color w:val="24272A"/>
          <w:shd w:val="clear" w:color="auto" w:fill="FFFFFF"/>
        </w:rPr>
        <w:t xml:space="preserve">if an accident </w:t>
      </w:r>
      <w:r w:rsidR="008B10BD">
        <w:rPr>
          <w:rFonts w:asciiTheme="majorHAnsi" w:hAnsiTheme="majorHAnsi"/>
          <w:color w:val="24272A"/>
          <w:shd w:val="clear" w:color="auto" w:fill="FFFFFF"/>
        </w:rPr>
        <w:t xml:space="preserve">occurred with the </w:t>
      </w:r>
      <w:r w:rsidR="00D84E6F">
        <w:rPr>
          <w:rFonts w:asciiTheme="majorHAnsi" w:hAnsiTheme="majorHAnsi"/>
          <w:color w:val="24272A"/>
          <w:shd w:val="clear" w:color="auto" w:fill="FFFFFF"/>
        </w:rPr>
        <w:t xml:space="preserve">unladen mass limit raised to 170kg.  COTA NSW is </w:t>
      </w:r>
      <w:r w:rsidR="00C66CB8">
        <w:rPr>
          <w:rFonts w:asciiTheme="majorHAnsi" w:hAnsiTheme="majorHAnsi"/>
          <w:color w:val="24272A"/>
          <w:shd w:val="clear" w:color="auto" w:fill="FFFFFF"/>
        </w:rPr>
        <w:t xml:space="preserve">much more concerned with </w:t>
      </w:r>
      <w:r w:rsidR="0020476B">
        <w:rPr>
          <w:rFonts w:asciiTheme="majorHAnsi" w:hAnsiTheme="majorHAnsi"/>
          <w:color w:val="24272A"/>
          <w:shd w:val="clear" w:color="auto" w:fill="FFFFFF"/>
        </w:rPr>
        <w:t xml:space="preserve">users of MMDs not adhering to </w:t>
      </w:r>
      <w:r w:rsidR="000830C9">
        <w:rPr>
          <w:rFonts w:asciiTheme="majorHAnsi" w:hAnsiTheme="majorHAnsi"/>
          <w:color w:val="24272A"/>
          <w:shd w:val="clear" w:color="auto" w:fill="FFFFFF"/>
        </w:rPr>
        <w:t>a speed limit of 10km</w:t>
      </w:r>
      <w:r w:rsidR="00111CB4">
        <w:rPr>
          <w:rFonts w:asciiTheme="majorHAnsi" w:hAnsiTheme="majorHAnsi"/>
          <w:color w:val="24272A"/>
          <w:shd w:val="clear" w:color="auto" w:fill="FFFFFF"/>
        </w:rPr>
        <w:t xml:space="preserve">/h when used on </w:t>
      </w:r>
      <w:r w:rsidR="00414740">
        <w:rPr>
          <w:rFonts w:asciiTheme="majorHAnsi" w:hAnsiTheme="majorHAnsi"/>
          <w:color w:val="24272A"/>
          <w:shd w:val="clear" w:color="auto" w:fill="FFFFFF"/>
        </w:rPr>
        <w:t>footpaths</w:t>
      </w:r>
      <w:r w:rsidR="002238EC">
        <w:rPr>
          <w:rFonts w:asciiTheme="majorHAnsi" w:hAnsiTheme="majorHAnsi"/>
          <w:color w:val="24272A"/>
          <w:shd w:val="clear" w:color="auto" w:fill="FFFFFF"/>
        </w:rPr>
        <w:t xml:space="preserve"> </w:t>
      </w:r>
      <w:r w:rsidR="00973B58">
        <w:rPr>
          <w:rFonts w:asciiTheme="majorHAnsi" w:hAnsiTheme="majorHAnsi"/>
          <w:color w:val="24272A"/>
          <w:shd w:val="clear" w:color="auto" w:fill="FFFFFF"/>
        </w:rPr>
        <w:t xml:space="preserve">which </w:t>
      </w:r>
      <w:r w:rsidR="00391267">
        <w:rPr>
          <w:rFonts w:asciiTheme="majorHAnsi" w:hAnsiTheme="majorHAnsi"/>
          <w:color w:val="24272A"/>
          <w:shd w:val="clear" w:color="auto" w:fill="FFFFFF"/>
        </w:rPr>
        <w:t>place</w:t>
      </w:r>
      <w:r w:rsidR="006D363E">
        <w:rPr>
          <w:rFonts w:asciiTheme="majorHAnsi" w:hAnsiTheme="majorHAnsi"/>
          <w:color w:val="24272A"/>
          <w:shd w:val="clear" w:color="auto" w:fill="FFFFFF"/>
        </w:rPr>
        <w:t>s</w:t>
      </w:r>
      <w:r w:rsidR="00391267">
        <w:rPr>
          <w:rFonts w:asciiTheme="majorHAnsi" w:hAnsiTheme="majorHAnsi"/>
          <w:color w:val="24272A"/>
          <w:shd w:val="clear" w:color="auto" w:fill="FFFFFF"/>
        </w:rPr>
        <w:t xml:space="preserve"> </w:t>
      </w:r>
      <w:r w:rsidR="00E22B59">
        <w:rPr>
          <w:rFonts w:asciiTheme="majorHAnsi" w:hAnsiTheme="majorHAnsi"/>
          <w:color w:val="24272A"/>
          <w:shd w:val="clear" w:color="auto" w:fill="FFFFFF"/>
        </w:rPr>
        <w:t xml:space="preserve">the safety of pedestrians </w:t>
      </w:r>
      <w:r w:rsidR="006D363E">
        <w:rPr>
          <w:rFonts w:asciiTheme="majorHAnsi" w:hAnsiTheme="majorHAnsi"/>
          <w:color w:val="24272A"/>
          <w:shd w:val="clear" w:color="auto" w:fill="FFFFFF"/>
        </w:rPr>
        <w:t>at risk</w:t>
      </w:r>
      <w:r w:rsidR="008C3CE8">
        <w:rPr>
          <w:rFonts w:asciiTheme="majorHAnsi" w:hAnsiTheme="majorHAnsi"/>
          <w:color w:val="24272A"/>
          <w:shd w:val="clear" w:color="auto" w:fill="FFFFFF"/>
        </w:rPr>
        <w:t xml:space="preserve">, as indicated by </w:t>
      </w:r>
      <w:r w:rsidR="003615F4">
        <w:rPr>
          <w:rFonts w:asciiTheme="majorHAnsi" w:hAnsiTheme="majorHAnsi"/>
          <w:color w:val="24272A"/>
          <w:shd w:val="clear" w:color="auto" w:fill="FFFFFF"/>
        </w:rPr>
        <w:t xml:space="preserve">table 2. </w:t>
      </w:r>
      <w:r w:rsidR="00941AFA">
        <w:rPr>
          <w:rFonts w:asciiTheme="majorHAnsi" w:hAnsiTheme="majorHAnsi"/>
          <w:color w:val="24272A"/>
          <w:shd w:val="clear" w:color="auto" w:fill="FFFFFF"/>
        </w:rPr>
        <w:t>in the discussion paper.</w:t>
      </w:r>
    </w:p>
    <w:p w14:paraId="06759570" w14:textId="67F2972B" w:rsidR="006456F1" w:rsidRPr="006456F1" w:rsidRDefault="006456F1">
      <w:pPr>
        <w:rPr>
          <w:rFonts w:asciiTheme="majorHAnsi" w:hAnsiTheme="majorHAnsi"/>
          <w:color w:val="24272A"/>
          <w:shd w:val="clear" w:color="auto" w:fill="FFFFFF"/>
        </w:rPr>
      </w:pPr>
    </w:p>
    <w:p w14:paraId="67E7C819" w14:textId="41F445CB" w:rsidR="006456F1" w:rsidRPr="006456F1" w:rsidRDefault="006456F1">
      <w:pPr>
        <w:rPr>
          <w:rFonts w:asciiTheme="majorHAnsi" w:hAnsiTheme="majorHAnsi"/>
          <w:color w:val="24272A"/>
          <w:shd w:val="clear" w:color="auto" w:fill="FFFFFF"/>
        </w:rPr>
      </w:pPr>
    </w:p>
    <w:p w14:paraId="53264700" w14:textId="0DFC27B5" w:rsidR="006456F1" w:rsidRDefault="006456F1">
      <w:pPr>
        <w:rPr>
          <w:rFonts w:asciiTheme="majorHAnsi" w:hAnsiTheme="majorHAnsi"/>
          <w:b/>
          <w:bCs/>
          <w:color w:val="24272A"/>
          <w:sz w:val="27"/>
          <w:szCs w:val="27"/>
          <w:shd w:val="clear" w:color="auto" w:fill="FFFFFF"/>
        </w:rPr>
      </w:pPr>
      <w:r w:rsidRPr="006456F1">
        <w:rPr>
          <w:rFonts w:asciiTheme="majorHAnsi" w:hAnsiTheme="majorHAnsi"/>
          <w:b/>
          <w:bCs/>
          <w:color w:val="24272A"/>
          <w:shd w:val="clear" w:color="auto" w:fill="FFFFFF"/>
        </w:rPr>
        <w:t>Do you agree with the proposed pedestrian classification? Is it appropriate that all MMD operators are required to follow the pedestrian road rules? Please provide evidence to support your position</w:t>
      </w:r>
      <w:r w:rsidRPr="006456F1">
        <w:rPr>
          <w:rFonts w:asciiTheme="majorHAnsi" w:hAnsiTheme="majorHAnsi"/>
          <w:b/>
          <w:bCs/>
          <w:color w:val="24272A"/>
          <w:sz w:val="27"/>
          <w:szCs w:val="27"/>
          <w:shd w:val="clear" w:color="auto" w:fill="FFFFFF"/>
        </w:rPr>
        <w:t>.</w:t>
      </w:r>
    </w:p>
    <w:p w14:paraId="1D8C0341" w14:textId="1F658671" w:rsidR="00844202" w:rsidRDefault="00844202">
      <w:pPr>
        <w:rPr>
          <w:rFonts w:asciiTheme="majorHAnsi" w:hAnsiTheme="majorHAnsi"/>
          <w:b/>
          <w:bCs/>
          <w:color w:val="24272A"/>
          <w:sz w:val="27"/>
          <w:szCs w:val="27"/>
          <w:shd w:val="clear" w:color="auto" w:fill="FFFFFF"/>
        </w:rPr>
      </w:pPr>
    </w:p>
    <w:p w14:paraId="7B1D3BAD" w14:textId="663DD886" w:rsidR="00032921" w:rsidRDefault="00861C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the absence of a new classification for MMD’s, COTA NSW strongly supports the </w:t>
      </w:r>
      <w:r w:rsidR="00385719">
        <w:rPr>
          <w:rFonts w:asciiTheme="majorHAnsi" w:hAnsiTheme="majorHAnsi"/>
        </w:rPr>
        <w:t>pedestrian classification consistently applied to these devices</w:t>
      </w:r>
      <w:r w:rsidR="00FB022A">
        <w:rPr>
          <w:rFonts w:asciiTheme="majorHAnsi" w:hAnsiTheme="majorHAnsi"/>
        </w:rPr>
        <w:t xml:space="preserve"> </w:t>
      </w:r>
      <w:r w:rsidR="00AA5FF9">
        <w:rPr>
          <w:rFonts w:asciiTheme="majorHAnsi" w:hAnsiTheme="majorHAnsi"/>
        </w:rPr>
        <w:t>across all jurisdictions</w:t>
      </w:r>
      <w:r w:rsidR="006A2812">
        <w:rPr>
          <w:rFonts w:asciiTheme="majorHAnsi" w:hAnsiTheme="majorHAnsi"/>
        </w:rPr>
        <w:t xml:space="preserve"> and in </w:t>
      </w:r>
      <w:r w:rsidR="00032921">
        <w:rPr>
          <w:rFonts w:asciiTheme="majorHAnsi" w:hAnsiTheme="majorHAnsi"/>
        </w:rPr>
        <w:t>p</w:t>
      </w:r>
      <w:r w:rsidR="006A2812">
        <w:rPr>
          <w:rFonts w:asciiTheme="majorHAnsi" w:hAnsiTheme="majorHAnsi"/>
        </w:rPr>
        <w:t xml:space="preserve">articular the requirement to </w:t>
      </w:r>
      <w:r w:rsidR="00160CAA">
        <w:rPr>
          <w:rFonts w:asciiTheme="majorHAnsi" w:hAnsiTheme="majorHAnsi"/>
        </w:rPr>
        <w:t>adhere to a speed limit of 10 km/h.</w:t>
      </w:r>
      <w:r w:rsidR="006067E1">
        <w:rPr>
          <w:rFonts w:asciiTheme="majorHAnsi" w:hAnsiTheme="majorHAnsi"/>
        </w:rPr>
        <w:t xml:space="preserve">  </w:t>
      </w:r>
      <w:r w:rsidR="00032921">
        <w:rPr>
          <w:rFonts w:asciiTheme="majorHAnsi" w:hAnsiTheme="majorHAnsi"/>
        </w:rPr>
        <w:t xml:space="preserve">A limit of this speed will reduce the risk of injury to both users of MMD’s and </w:t>
      </w:r>
      <w:r w:rsidR="002B55F7">
        <w:rPr>
          <w:rFonts w:asciiTheme="majorHAnsi" w:hAnsiTheme="majorHAnsi"/>
        </w:rPr>
        <w:t>other pedestrians.</w:t>
      </w:r>
    </w:p>
    <w:p w14:paraId="00428EBC" w14:textId="77777777" w:rsidR="00032921" w:rsidRDefault="00032921">
      <w:pPr>
        <w:rPr>
          <w:rFonts w:asciiTheme="majorHAnsi" w:hAnsiTheme="majorHAnsi"/>
        </w:rPr>
      </w:pPr>
    </w:p>
    <w:p w14:paraId="14E36EE0" w14:textId="2B874A85" w:rsidR="00844202" w:rsidRDefault="0047738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However, it is well known that many devices have </w:t>
      </w:r>
      <w:r w:rsidR="00970C68">
        <w:rPr>
          <w:rFonts w:asciiTheme="majorHAnsi" w:hAnsiTheme="majorHAnsi"/>
        </w:rPr>
        <w:t xml:space="preserve">been ‘hotted up’ to allow for </w:t>
      </w:r>
      <w:r w:rsidR="00D41522">
        <w:rPr>
          <w:rFonts w:asciiTheme="majorHAnsi" w:hAnsiTheme="majorHAnsi"/>
        </w:rPr>
        <w:t>increased speed</w:t>
      </w:r>
      <w:r w:rsidR="002E065F">
        <w:rPr>
          <w:rFonts w:asciiTheme="majorHAnsi" w:hAnsiTheme="majorHAnsi"/>
        </w:rPr>
        <w:t xml:space="preserve"> a</w:t>
      </w:r>
      <w:r w:rsidR="003C5362">
        <w:rPr>
          <w:rFonts w:asciiTheme="majorHAnsi" w:hAnsiTheme="majorHAnsi"/>
        </w:rPr>
        <w:t xml:space="preserve">nd consequently often pose a danger to pedestrians.  It is paramount that </w:t>
      </w:r>
      <w:r w:rsidR="00A47342">
        <w:rPr>
          <w:rFonts w:asciiTheme="majorHAnsi" w:hAnsiTheme="majorHAnsi"/>
        </w:rPr>
        <w:t xml:space="preserve">users of these devices are provided with </w:t>
      </w:r>
      <w:r w:rsidR="00796B83">
        <w:rPr>
          <w:rFonts w:asciiTheme="majorHAnsi" w:hAnsiTheme="majorHAnsi"/>
        </w:rPr>
        <w:t>appropriate training</w:t>
      </w:r>
      <w:r w:rsidR="00C4184F">
        <w:rPr>
          <w:rFonts w:asciiTheme="majorHAnsi" w:hAnsiTheme="majorHAnsi"/>
        </w:rPr>
        <w:t xml:space="preserve">, including clear and concise information about the current road rules.  </w:t>
      </w:r>
      <w:r w:rsidR="002373B3">
        <w:rPr>
          <w:rFonts w:asciiTheme="majorHAnsi" w:hAnsiTheme="majorHAnsi"/>
        </w:rPr>
        <w:t xml:space="preserve">Users who do not comply with </w:t>
      </w:r>
      <w:r w:rsidR="005701A4">
        <w:rPr>
          <w:rFonts w:asciiTheme="majorHAnsi" w:hAnsiTheme="majorHAnsi"/>
        </w:rPr>
        <w:t xml:space="preserve">the pedestrian road rules should </w:t>
      </w:r>
      <w:r w:rsidR="00D6353D">
        <w:rPr>
          <w:rFonts w:asciiTheme="majorHAnsi" w:hAnsiTheme="majorHAnsi"/>
        </w:rPr>
        <w:t xml:space="preserve">be subject to the specified </w:t>
      </w:r>
      <w:r w:rsidR="00925AB9">
        <w:rPr>
          <w:rFonts w:asciiTheme="majorHAnsi" w:hAnsiTheme="majorHAnsi"/>
        </w:rPr>
        <w:t xml:space="preserve">penalties within the </w:t>
      </w:r>
      <w:r w:rsidR="000314AA">
        <w:rPr>
          <w:rFonts w:asciiTheme="majorHAnsi" w:hAnsiTheme="majorHAnsi"/>
        </w:rPr>
        <w:t>legislation.</w:t>
      </w:r>
    </w:p>
    <w:p w14:paraId="21B2E256" w14:textId="66A1C313" w:rsidR="008A6C22" w:rsidRDefault="008A6C22">
      <w:pPr>
        <w:rPr>
          <w:rFonts w:asciiTheme="majorHAnsi" w:hAnsiTheme="majorHAnsi"/>
        </w:rPr>
      </w:pPr>
    </w:p>
    <w:p w14:paraId="66C594D4" w14:textId="221E225A" w:rsidR="008A6C22" w:rsidRDefault="008A6C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Again, there was broad support from </w:t>
      </w:r>
      <w:r w:rsidR="00AD6603">
        <w:rPr>
          <w:rFonts w:asciiTheme="majorHAnsi" w:hAnsiTheme="majorHAnsi"/>
        </w:rPr>
        <w:t xml:space="preserve">respondents of the PDCN survey, with </w:t>
      </w:r>
      <w:r w:rsidR="00C637BF">
        <w:rPr>
          <w:rFonts w:asciiTheme="majorHAnsi" w:hAnsiTheme="majorHAnsi"/>
        </w:rPr>
        <w:t>86%</w:t>
      </w:r>
      <w:bookmarkStart w:id="0" w:name="_GoBack"/>
      <w:bookmarkEnd w:id="0"/>
      <w:r w:rsidR="004670AF">
        <w:rPr>
          <w:rFonts w:asciiTheme="majorHAnsi" w:hAnsiTheme="majorHAnsi"/>
        </w:rPr>
        <w:t xml:space="preserve"> of </w:t>
      </w:r>
      <w:r w:rsidR="0045655C">
        <w:rPr>
          <w:rFonts w:asciiTheme="majorHAnsi" w:hAnsiTheme="majorHAnsi"/>
        </w:rPr>
        <w:t xml:space="preserve">users supporting the pedestrian classification and </w:t>
      </w:r>
      <w:r w:rsidR="007B4CB8">
        <w:rPr>
          <w:rFonts w:asciiTheme="majorHAnsi" w:hAnsiTheme="majorHAnsi"/>
        </w:rPr>
        <w:t>2/3</w:t>
      </w:r>
      <w:r w:rsidR="0045655C">
        <w:rPr>
          <w:rFonts w:asciiTheme="majorHAnsi" w:hAnsiTheme="majorHAnsi"/>
        </w:rPr>
        <w:t xml:space="preserve"> </w:t>
      </w:r>
      <w:r w:rsidR="00C06C1B">
        <w:rPr>
          <w:rFonts w:asciiTheme="majorHAnsi" w:hAnsiTheme="majorHAnsi"/>
        </w:rPr>
        <w:t xml:space="preserve">agreeing </w:t>
      </w:r>
      <w:r w:rsidR="00EA52F9">
        <w:rPr>
          <w:rFonts w:asciiTheme="majorHAnsi" w:hAnsiTheme="majorHAnsi"/>
        </w:rPr>
        <w:t>that</w:t>
      </w:r>
      <w:r w:rsidR="00C06C1B">
        <w:rPr>
          <w:rFonts w:asciiTheme="majorHAnsi" w:hAnsiTheme="majorHAnsi"/>
        </w:rPr>
        <w:t xml:space="preserve"> a limit of 10</w:t>
      </w:r>
      <w:r w:rsidR="00115B02">
        <w:rPr>
          <w:rFonts w:asciiTheme="majorHAnsi" w:hAnsiTheme="majorHAnsi"/>
        </w:rPr>
        <w:t xml:space="preserve"> km/h for MMD </w:t>
      </w:r>
      <w:r w:rsidR="007B4CB8">
        <w:rPr>
          <w:rFonts w:asciiTheme="majorHAnsi" w:hAnsiTheme="majorHAnsi"/>
        </w:rPr>
        <w:t>users</w:t>
      </w:r>
      <w:r w:rsidR="00EA52F9">
        <w:rPr>
          <w:rFonts w:asciiTheme="majorHAnsi" w:hAnsiTheme="majorHAnsi"/>
        </w:rPr>
        <w:t xml:space="preserve"> is acceptable.</w:t>
      </w:r>
    </w:p>
    <w:p w14:paraId="186341F4" w14:textId="77777777" w:rsidR="007B4CB8" w:rsidRDefault="007B4CB8">
      <w:pPr>
        <w:rPr>
          <w:rFonts w:asciiTheme="majorHAnsi" w:hAnsiTheme="majorHAnsi"/>
        </w:rPr>
      </w:pPr>
    </w:p>
    <w:p w14:paraId="552A9C89" w14:textId="5EC427AF" w:rsidR="006067E1" w:rsidRDefault="006067E1">
      <w:pPr>
        <w:rPr>
          <w:rFonts w:asciiTheme="majorHAnsi" w:hAnsiTheme="majorHAnsi"/>
        </w:rPr>
      </w:pPr>
    </w:p>
    <w:p w14:paraId="26333E57" w14:textId="77777777" w:rsidR="006067E1" w:rsidRPr="00844202" w:rsidRDefault="006067E1">
      <w:pPr>
        <w:rPr>
          <w:rFonts w:asciiTheme="majorHAnsi" w:hAnsiTheme="majorHAnsi"/>
        </w:rPr>
      </w:pPr>
    </w:p>
    <w:sectPr w:rsidR="006067E1" w:rsidRPr="00844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F1"/>
    <w:rsid w:val="000314AA"/>
    <w:rsid w:val="00032921"/>
    <w:rsid w:val="00063EC0"/>
    <w:rsid w:val="00064D16"/>
    <w:rsid w:val="000830C9"/>
    <w:rsid w:val="000C5908"/>
    <w:rsid w:val="00111CB4"/>
    <w:rsid w:val="00115B02"/>
    <w:rsid w:val="00160CAA"/>
    <w:rsid w:val="001B24C0"/>
    <w:rsid w:val="001D530D"/>
    <w:rsid w:val="001F4931"/>
    <w:rsid w:val="0020476B"/>
    <w:rsid w:val="002238EC"/>
    <w:rsid w:val="002373B3"/>
    <w:rsid w:val="002B55F7"/>
    <w:rsid w:val="002B56DA"/>
    <w:rsid w:val="002E065F"/>
    <w:rsid w:val="003615F4"/>
    <w:rsid w:val="00385719"/>
    <w:rsid w:val="00391267"/>
    <w:rsid w:val="003C5362"/>
    <w:rsid w:val="00414740"/>
    <w:rsid w:val="0045655C"/>
    <w:rsid w:val="004670AF"/>
    <w:rsid w:val="00477386"/>
    <w:rsid w:val="004A432E"/>
    <w:rsid w:val="004C45DC"/>
    <w:rsid w:val="004C679B"/>
    <w:rsid w:val="00566D1B"/>
    <w:rsid w:val="005701A4"/>
    <w:rsid w:val="00600D61"/>
    <w:rsid w:val="006067E1"/>
    <w:rsid w:val="006456F1"/>
    <w:rsid w:val="0065433D"/>
    <w:rsid w:val="00696E4F"/>
    <w:rsid w:val="006A2812"/>
    <w:rsid w:val="006C3F9D"/>
    <w:rsid w:val="006D363E"/>
    <w:rsid w:val="00757104"/>
    <w:rsid w:val="00796B83"/>
    <w:rsid w:val="007B4CB8"/>
    <w:rsid w:val="00812DE9"/>
    <w:rsid w:val="00844202"/>
    <w:rsid w:val="00861C29"/>
    <w:rsid w:val="00886A0F"/>
    <w:rsid w:val="008A6C22"/>
    <w:rsid w:val="008B10BD"/>
    <w:rsid w:val="008C3CE8"/>
    <w:rsid w:val="009047E0"/>
    <w:rsid w:val="00916532"/>
    <w:rsid w:val="00925AB9"/>
    <w:rsid w:val="00941AFA"/>
    <w:rsid w:val="00970C68"/>
    <w:rsid w:val="00973B58"/>
    <w:rsid w:val="00993D7E"/>
    <w:rsid w:val="00A47342"/>
    <w:rsid w:val="00A56C0C"/>
    <w:rsid w:val="00A82F93"/>
    <w:rsid w:val="00AA5FF9"/>
    <w:rsid w:val="00AD6603"/>
    <w:rsid w:val="00B03B71"/>
    <w:rsid w:val="00B24152"/>
    <w:rsid w:val="00B37F37"/>
    <w:rsid w:val="00B734A9"/>
    <w:rsid w:val="00BB614B"/>
    <w:rsid w:val="00C06C1B"/>
    <w:rsid w:val="00C25125"/>
    <w:rsid w:val="00C4184F"/>
    <w:rsid w:val="00C420C3"/>
    <w:rsid w:val="00C537BB"/>
    <w:rsid w:val="00C637BF"/>
    <w:rsid w:val="00C66CB8"/>
    <w:rsid w:val="00CC2D9C"/>
    <w:rsid w:val="00CC67AB"/>
    <w:rsid w:val="00D41418"/>
    <w:rsid w:val="00D41522"/>
    <w:rsid w:val="00D43913"/>
    <w:rsid w:val="00D6353D"/>
    <w:rsid w:val="00D72DCA"/>
    <w:rsid w:val="00D84E6F"/>
    <w:rsid w:val="00D871BC"/>
    <w:rsid w:val="00E22B59"/>
    <w:rsid w:val="00E44068"/>
    <w:rsid w:val="00E73B39"/>
    <w:rsid w:val="00E8582A"/>
    <w:rsid w:val="00E90169"/>
    <w:rsid w:val="00EA52F9"/>
    <w:rsid w:val="00EF4B77"/>
    <w:rsid w:val="00F10712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D95C"/>
  <w15:chartTrackingRefBased/>
  <w15:docId w15:val="{0CE3CB0B-2A70-43C9-AF15-F38293C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ajorHAns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C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33550CEAD564BA83A9771AC15C1A0" ma:contentTypeVersion="2" ma:contentTypeDescription="Create a new document." ma:contentTypeScope="" ma:versionID="c1a11b02a1a4a724008c0ac2f3fe7e2d">
  <xsd:schema xmlns:xsd="http://www.w3.org/2001/XMLSchema" xmlns:xs="http://www.w3.org/2001/XMLSchema" xmlns:p="http://schemas.microsoft.com/office/2006/metadata/properties" xmlns:ns2="e6fb739e-58cc-401a-925a-5d67fcbbeea1" targetNamespace="http://schemas.microsoft.com/office/2006/metadata/properties" ma:root="true" ma:fieldsID="78288582b7776890c8e073739f770544" ns2:_="">
    <xsd:import namespace="e6fb739e-58cc-401a-925a-5d67fcbbe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739e-58cc-401a-925a-5d67fcbbe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81C04-E6C5-4511-AE9F-00FB608B4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B56C5-9415-478A-B338-5238168D41EF}"/>
</file>

<file path=customXml/itemProps3.xml><?xml version="1.0" encoding="utf-8"?>
<ds:datastoreItem xmlns:ds="http://schemas.openxmlformats.org/officeDocument/2006/customXml" ds:itemID="{B67B8C37-9D92-4E47-AF06-7B762936B8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Appleby</dc:creator>
  <cp:keywords/>
  <dc:description/>
  <cp:lastModifiedBy>Karen Appleby</cp:lastModifiedBy>
  <cp:revision>4</cp:revision>
  <dcterms:created xsi:type="dcterms:W3CDTF">2019-12-17T03:17:00Z</dcterms:created>
  <dcterms:modified xsi:type="dcterms:W3CDTF">2019-12-17T03:18:00Z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0x010100CD333550CEAD564BA83A9771AC15C1A0</vt:lpwstr>
  </property>
</Properties>
</file>