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C413A" w14:textId="24D6D596" w:rsidR="00CC07B3" w:rsidRPr="00EF2765" w:rsidRDefault="00947335" w:rsidP="00CD0682">
      <w:pPr>
        <w:pStyle w:val="BodyTextArial"/>
      </w:pPr>
      <w:r>
        <w:t>1</w:t>
      </w:r>
      <w:r w:rsidR="00CC1D7B">
        <w:t>9</w:t>
      </w:r>
      <w:r w:rsidRPr="00947335">
        <w:rPr>
          <w:vertAlign w:val="superscript"/>
        </w:rPr>
        <w:t>th</w:t>
      </w:r>
      <w:r>
        <w:t xml:space="preserve"> </w:t>
      </w:r>
      <w:r w:rsidR="00503833">
        <w:t>December 2020</w:t>
      </w:r>
    </w:p>
    <w:p w14:paraId="2ABF3E17" w14:textId="6567C88F" w:rsidR="006723F2" w:rsidRDefault="006723F2" w:rsidP="006723F2">
      <w:pPr>
        <w:spacing w:line="360" w:lineRule="auto"/>
        <w:rPr>
          <w:rFonts w:eastAsia="Times New Roman"/>
        </w:rPr>
      </w:pPr>
      <w:r>
        <w:rPr>
          <w:rFonts w:eastAsia="Times New Roman"/>
        </w:rPr>
        <w:t xml:space="preserve">Submitted online </w:t>
      </w:r>
      <w:r w:rsidR="00CC1D7B">
        <w:rPr>
          <w:rFonts w:eastAsia="Times New Roman"/>
        </w:rPr>
        <w:t>mmees@ntc.gov.au</w:t>
      </w:r>
      <w:bookmarkStart w:id="0" w:name="_GoBack"/>
      <w:bookmarkEnd w:id="0"/>
    </w:p>
    <w:p w14:paraId="05BDC10A" w14:textId="77777777" w:rsidR="00503833" w:rsidRDefault="00503833" w:rsidP="00CD0682">
      <w:pPr>
        <w:pStyle w:val="BodyTextArial"/>
      </w:pPr>
    </w:p>
    <w:p w14:paraId="5BA35773" w14:textId="77777777" w:rsidR="00503833" w:rsidRDefault="00503833" w:rsidP="00503833">
      <w:pPr>
        <w:rPr>
          <w:rFonts w:asciiTheme="minorHAnsi" w:eastAsia="Times New Roman" w:hAnsiTheme="minorHAnsi" w:cstheme="minorHAnsi"/>
          <w:b/>
        </w:rPr>
      </w:pPr>
    </w:p>
    <w:p w14:paraId="630BA824" w14:textId="77777777" w:rsidR="00503833" w:rsidRDefault="001C4EE0" w:rsidP="00503833">
      <w:pPr>
        <w:rPr>
          <w:rFonts w:asciiTheme="minorHAnsi" w:eastAsia="Times New Roman" w:hAnsiTheme="minorHAnsi" w:cstheme="minorHAnsi"/>
          <w:b/>
        </w:rPr>
      </w:pPr>
      <w:r>
        <w:rPr>
          <w:rFonts w:asciiTheme="minorHAnsi" w:eastAsia="Times New Roman" w:hAnsiTheme="minorHAnsi" w:cstheme="minorHAnsi"/>
          <w:b/>
        </w:rPr>
        <w:t>NTC Consultation RIS – Barriers to the safe use of personal mobility devices</w:t>
      </w:r>
    </w:p>
    <w:p w14:paraId="513E6004" w14:textId="77777777" w:rsidR="00142051" w:rsidRDefault="00142051" w:rsidP="00142051">
      <w:pPr>
        <w:spacing w:line="360" w:lineRule="auto"/>
        <w:jc w:val="both"/>
        <w:rPr>
          <w:rFonts w:eastAsia="Times New Roman"/>
        </w:rPr>
      </w:pPr>
    </w:p>
    <w:p w14:paraId="688F4BC1" w14:textId="77777777" w:rsidR="00142051" w:rsidRDefault="00142051" w:rsidP="00142051">
      <w:pPr>
        <w:spacing w:line="360" w:lineRule="auto"/>
        <w:jc w:val="both"/>
        <w:rPr>
          <w:rFonts w:eastAsia="Times New Roman"/>
        </w:rPr>
      </w:pPr>
      <w:r>
        <w:rPr>
          <w:rFonts w:eastAsia="Times New Roman"/>
        </w:rPr>
        <w:t xml:space="preserve">Thank you for the opportunity to provide feedback on the </w:t>
      </w:r>
      <w:r w:rsidR="00987D4F">
        <w:rPr>
          <w:rFonts w:eastAsia="Times New Roman"/>
        </w:rPr>
        <w:t xml:space="preserve">NTC Consultation RIS - </w:t>
      </w:r>
      <w:r>
        <w:rPr>
          <w:rFonts w:eastAsia="Times New Roman"/>
          <w:i/>
        </w:rPr>
        <w:t xml:space="preserve">Barriers to the safe use of </w:t>
      </w:r>
      <w:r w:rsidR="00987D4F">
        <w:rPr>
          <w:rFonts w:eastAsia="Times New Roman"/>
          <w:i/>
        </w:rPr>
        <w:t xml:space="preserve">personal mobility </w:t>
      </w:r>
      <w:r>
        <w:rPr>
          <w:rFonts w:eastAsia="Times New Roman"/>
          <w:i/>
        </w:rPr>
        <w:t>devices</w:t>
      </w:r>
      <w:r>
        <w:rPr>
          <w:rFonts w:eastAsia="Times New Roman"/>
        </w:rPr>
        <w:t xml:space="preserve"> </w:t>
      </w:r>
      <w:r w:rsidR="00987D4F">
        <w:rPr>
          <w:rFonts w:eastAsia="Times New Roman"/>
        </w:rPr>
        <w:t>(October</w:t>
      </w:r>
      <w:r>
        <w:rPr>
          <w:rFonts w:eastAsia="Times New Roman"/>
        </w:rPr>
        <w:t xml:space="preserve"> 2019</w:t>
      </w:r>
      <w:r w:rsidR="00987D4F">
        <w:rPr>
          <w:rFonts w:eastAsia="Times New Roman"/>
        </w:rPr>
        <w:t>)</w:t>
      </w:r>
      <w:r>
        <w:rPr>
          <w:rFonts w:eastAsia="Times New Roman"/>
        </w:rPr>
        <w:t xml:space="preserve">. </w:t>
      </w:r>
    </w:p>
    <w:p w14:paraId="5C5A2A1E" w14:textId="77777777" w:rsidR="00142051" w:rsidRDefault="00142051" w:rsidP="00142051">
      <w:pPr>
        <w:spacing w:line="360" w:lineRule="auto"/>
        <w:jc w:val="both"/>
        <w:rPr>
          <w:rFonts w:eastAsia="Times New Roman"/>
        </w:rPr>
      </w:pPr>
    </w:p>
    <w:p w14:paraId="0A0E962C" w14:textId="77777777" w:rsidR="00142051" w:rsidRDefault="00142051" w:rsidP="00142051">
      <w:pPr>
        <w:spacing w:line="360" w:lineRule="auto"/>
        <w:jc w:val="both"/>
        <w:rPr>
          <w:rFonts w:eastAsia="Times New Roman"/>
        </w:rPr>
      </w:pPr>
      <w:r>
        <w:rPr>
          <w:rFonts w:eastAsia="Times New Roman"/>
        </w:rPr>
        <w:t xml:space="preserve">IAG believes that </w:t>
      </w:r>
      <w:r w:rsidR="00987D4F">
        <w:rPr>
          <w:rFonts w:eastAsia="Times New Roman"/>
        </w:rPr>
        <w:t xml:space="preserve">personal </w:t>
      </w:r>
      <w:r>
        <w:rPr>
          <w:rFonts w:eastAsia="Times New Roman"/>
        </w:rPr>
        <w:t xml:space="preserve">mobility devices </w:t>
      </w:r>
      <w:r w:rsidR="00BE16B0">
        <w:rPr>
          <w:rFonts w:eastAsia="Times New Roman"/>
        </w:rPr>
        <w:t xml:space="preserve">(PMDs) </w:t>
      </w:r>
      <w:r>
        <w:rPr>
          <w:rFonts w:eastAsia="Times New Roman"/>
        </w:rPr>
        <w:t xml:space="preserve">offer significant opportunities to </w:t>
      </w:r>
      <w:r w:rsidR="00987D4F">
        <w:rPr>
          <w:rFonts w:eastAsia="Times New Roman"/>
        </w:rPr>
        <w:t>increase active transport options for Australian’s to access their local communities</w:t>
      </w:r>
      <w:r>
        <w:rPr>
          <w:rFonts w:eastAsia="Times New Roman"/>
        </w:rPr>
        <w:t xml:space="preserve">. </w:t>
      </w:r>
      <w:r w:rsidRPr="005965E2">
        <w:rPr>
          <w:rFonts w:eastAsia="Times New Roman"/>
        </w:rPr>
        <w:t xml:space="preserve">We see safe, </w:t>
      </w:r>
      <w:r w:rsidR="005965E2" w:rsidRPr="005965E2">
        <w:rPr>
          <w:rFonts w:eastAsia="Times New Roman"/>
        </w:rPr>
        <w:t>public</w:t>
      </w:r>
      <w:r w:rsidRPr="005965E2">
        <w:rPr>
          <w:rFonts w:eastAsia="Times New Roman"/>
        </w:rPr>
        <w:t xml:space="preserve"> access as a critical component of building strong and connected Australian communities.</w:t>
      </w:r>
      <w:r>
        <w:rPr>
          <w:rFonts w:eastAsia="Times New Roman"/>
        </w:rPr>
        <w:t xml:space="preserve">  IAG therefore supports the NTC’s effort to </w:t>
      </w:r>
      <w:r w:rsidR="00987D4F">
        <w:rPr>
          <w:rFonts w:eastAsia="Times New Roman"/>
        </w:rPr>
        <w:t xml:space="preserve">develop a nationally consistent regulatory framework to facilitate </w:t>
      </w:r>
      <w:r w:rsidR="00BE16B0">
        <w:rPr>
          <w:rFonts w:eastAsia="Times New Roman"/>
        </w:rPr>
        <w:t xml:space="preserve">the </w:t>
      </w:r>
      <w:r w:rsidR="00987D4F">
        <w:rPr>
          <w:rFonts w:eastAsia="Times New Roman"/>
        </w:rPr>
        <w:t xml:space="preserve">safe use of </w:t>
      </w:r>
      <w:r w:rsidR="00503EF3">
        <w:rPr>
          <w:rFonts w:eastAsia="Times New Roman"/>
        </w:rPr>
        <w:t>PMDs</w:t>
      </w:r>
      <w:r w:rsidR="00987D4F">
        <w:rPr>
          <w:rFonts w:eastAsia="Times New Roman"/>
        </w:rPr>
        <w:t>.</w:t>
      </w:r>
    </w:p>
    <w:p w14:paraId="6CA3BE38" w14:textId="77777777" w:rsidR="00142051" w:rsidRDefault="00142051" w:rsidP="00142051">
      <w:pPr>
        <w:spacing w:line="360" w:lineRule="auto"/>
        <w:jc w:val="both"/>
        <w:rPr>
          <w:rFonts w:eastAsia="Times New Roman"/>
        </w:rPr>
      </w:pPr>
      <w:r>
        <w:rPr>
          <w:rFonts w:eastAsia="Times New Roman"/>
        </w:rPr>
        <w:t xml:space="preserve">  </w:t>
      </w:r>
    </w:p>
    <w:p w14:paraId="60C558F0" w14:textId="77777777" w:rsidR="00142051" w:rsidRDefault="00987D4F" w:rsidP="00142051">
      <w:pPr>
        <w:spacing w:line="360" w:lineRule="auto"/>
        <w:jc w:val="both"/>
        <w:rPr>
          <w:rFonts w:eastAsia="Times New Roman"/>
        </w:rPr>
      </w:pPr>
      <w:r>
        <w:rPr>
          <w:rFonts w:eastAsia="Times New Roman"/>
        </w:rPr>
        <w:t xml:space="preserve">The NTC Consultation Risk Impact Statement </w:t>
      </w:r>
      <w:r w:rsidR="007F5FE4">
        <w:rPr>
          <w:rFonts w:eastAsia="Times New Roman"/>
        </w:rPr>
        <w:t xml:space="preserve">(RIS) </w:t>
      </w:r>
      <w:r>
        <w:rPr>
          <w:rFonts w:eastAsia="Times New Roman"/>
        </w:rPr>
        <w:t>propose</w:t>
      </w:r>
      <w:r w:rsidR="00BE16B0">
        <w:rPr>
          <w:rFonts w:eastAsia="Times New Roman"/>
        </w:rPr>
        <w:t xml:space="preserve">s a regulatory framework which could be adopted into the Australian Road Rules (ARR) to enable a nationally consistent approach to </w:t>
      </w:r>
      <w:proofErr w:type="spellStart"/>
      <w:r w:rsidR="00BE16B0">
        <w:rPr>
          <w:rFonts w:eastAsia="Times New Roman"/>
        </w:rPr>
        <w:t>recognising</w:t>
      </w:r>
      <w:proofErr w:type="spellEnd"/>
      <w:r w:rsidR="00BE16B0">
        <w:rPr>
          <w:rFonts w:eastAsia="Times New Roman"/>
        </w:rPr>
        <w:t xml:space="preserve"> PMDs. Th</w:t>
      </w:r>
      <w:r w:rsidR="00503EF3">
        <w:rPr>
          <w:rFonts w:eastAsia="Times New Roman"/>
        </w:rPr>
        <w:t>e proposed framework specifies motor and braking mechanisms as w</w:t>
      </w:r>
      <w:r w:rsidR="00B53B43">
        <w:rPr>
          <w:rFonts w:eastAsia="Times New Roman"/>
        </w:rPr>
        <w:t>e</w:t>
      </w:r>
      <w:r w:rsidR="00503EF3">
        <w:rPr>
          <w:rFonts w:eastAsia="Times New Roman"/>
        </w:rPr>
        <w:t>ll as weight and vehicle dimensions. In addition, the NTC</w:t>
      </w:r>
      <w:r w:rsidR="009B0D9E">
        <w:rPr>
          <w:rFonts w:eastAsia="Times New Roman"/>
        </w:rPr>
        <w:t xml:space="preserve"> </w:t>
      </w:r>
      <w:r w:rsidR="00A36A99">
        <w:rPr>
          <w:rFonts w:eastAsia="Times New Roman"/>
        </w:rPr>
        <w:t>paper</w:t>
      </w:r>
      <w:r w:rsidR="009B0D9E">
        <w:rPr>
          <w:rFonts w:eastAsia="Times New Roman"/>
        </w:rPr>
        <w:t xml:space="preserve"> outlines four different operational </w:t>
      </w:r>
      <w:r w:rsidR="00A36A99">
        <w:rPr>
          <w:rFonts w:eastAsia="Times New Roman"/>
        </w:rPr>
        <w:t>regulation</w:t>
      </w:r>
      <w:r w:rsidR="009B0D9E">
        <w:rPr>
          <w:rFonts w:eastAsia="Times New Roman"/>
        </w:rPr>
        <w:t xml:space="preserve"> </w:t>
      </w:r>
      <w:r w:rsidR="006C03C8">
        <w:rPr>
          <w:rFonts w:eastAsia="Times New Roman"/>
        </w:rPr>
        <w:t>options</w:t>
      </w:r>
      <w:r w:rsidR="009B0D9E">
        <w:rPr>
          <w:rFonts w:eastAsia="Times New Roman"/>
        </w:rPr>
        <w:t xml:space="preserve">. These </w:t>
      </w:r>
      <w:r w:rsidR="006C03C8">
        <w:rPr>
          <w:rFonts w:eastAsia="Times New Roman"/>
        </w:rPr>
        <w:t>option</w:t>
      </w:r>
      <w:r w:rsidR="009B0D9E">
        <w:rPr>
          <w:rFonts w:eastAsia="Times New Roman"/>
        </w:rPr>
        <w:t xml:space="preserve">s </w:t>
      </w:r>
      <w:r w:rsidR="006723F2">
        <w:rPr>
          <w:rFonts w:eastAsia="Times New Roman"/>
        </w:rPr>
        <w:t>differ</w:t>
      </w:r>
      <w:r w:rsidR="009B0D9E">
        <w:rPr>
          <w:rFonts w:eastAsia="Times New Roman"/>
        </w:rPr>
        <w:t xml:space="preserve"> </w:t>
      </w:r>
      <w:r w:rsidR="006723F2">
        <w:rPr>
          <w:rFonts w:eastAsia="Times New Roman"/>
        </w:rPr>
        <w:t>with re</w:t>
      </w:r>
      <w:r w:rsidR="007F5FE4">
        <w:rPr>
          <w:rFonts w:eastAsia="Times New Roman"/>
        </w:rPr>
        <w:t xml:space="preserve">spect the potential </w:t>
      </w:r>
      <w:r w:rsidR="00BE16B0">
        <w:rPr>
          <w:rFonts w:eastAsia="Times New Roman"/>
        </w:rPr>
        <w:t>speed</w:t>
      </w:r>
      <w:r w:rsidR="006723F2">
        <w:rPr>
          <w:rFonts w:eastAsia="Times New Roman"/>
        </w:rPr>
        <w:t xml:space="preserve"> limits</w:t>
      </w:r>
      <w:r w:rsidR="00BE16B0">
        <w:rPr>
          <w:rFonts w:eastAsia="Times New Roman"/>
        </w:rPr>
        <w:t xml:space="preserve"> and </w:t>
      </w:r>
      <w:r w:rsidR="00E139E9">
        <w:rPr>
          <w:rFonts w:eastAsia="Times New Roman"/>
        </w:rPr>
        <w:t xml:space="preserve">corresponding </w:t>
      </w:r>
      <w:r w:rsidR="00BE16B0">
        <w:rPr>
          <w:rFonts w:eastAsia="Times New Roman"/>
        </w:rPr>
        <w:t>operation</w:t>
      </w:r>
      <w:r w:rsidR="00A36A99">
        <w:rPr>
          <w:rFonts w:eastAsia="Times New Roman"/>
        </w:rPr>
        <w:t xml:space="preserve">al </w:t>
      </w:r>
      <w:r w:rsidR="006C03C8">
        <w:rPr>
          <w:rFonts w:eastAsia="Times New Roman"/>
        </w:rPr>
        <w:t>environments</w:t>
      </w:r>
      <w:r w:rsidR="00BE16B0">
        <w:rPr>
          <w:rFonts w:eastAsia="Times New Roman"/>
        </w:rPr>
        <w:t xml:space="preserve"> for </w:t>
      </w:r>
      <w:r w:rsidR="009B0D9E">
        <w:rPr>
          <w:rFonts w:eastAsia="Times New Roman"/>
        </w:rPr>
        <w:t>PMDs</w:t>
      </w:r>
      <w:r w:rsidR="00BE16B0">
        <w:rPr>
          <w:rFonts w:eastAsia="Times New Roman"/>
        </w:rPr>
        <w:t xml:space="preserve">. </w:t>
      </w:r>
    </w:p>
    <w:p w14:paraId="0DF1CCED" w14:textId="77777777" w:rsidR="00A36A99" w:rsidRDefault="00A36A99" w:rsidP="00142051">
      <w:pPr>
        <w:spacing w:line="360" w:lineRule="auto"/>
        <w:jc w:val="both"/>
        <w:rPr>
          <w:rFonts w:eastAsia="Times New Roman"/>
        </w:rPr>
      </w:pPr>
    </w:p>
    <w:p w14:paraId="104F5C7E" w14:textId="77777777" w:rsidR="000607A8" w:rsidRDefault="00A36A99" w:rsidP="0066403F">
      <w:pPr>
        <w:spacing w:line="360" w:lineRule="auto"/>
        <w:jc w:val="both"/>
        <w:rPr>
          <w:rFonts w:eastAsia="Times New Roman"/>
        </w:rPr>
      </w:pPr>
      <w:r>
        <w:rPr>
          <w:rFonts w:eastAsia="Times New Roman"/>
        </w:rPr>
        <w:t xml:space="preserve">The NTC preferred </w:t>
      </w:r>
      <w:r w:rsidR="00503EF3">
        <w:rPr>
          <w:rFonts w:eastAsia="Times New Roman"/>
        </w:rPr>
        <w:t>approach is listed</w:t>
      </w:r>
      <w:r>
        <w:rPr>
          <w:rFonts w:eastAsia="Times New Roman"/>
        </w:rPr>
        <w:t xml:space="preserve"> as Option 3</w:t>
      </w:r>
      <w:r w:rsidR="009B0D9E">
        <w:rPr>
          <w:rFonts w:eastAsia="Times New Roman"/>
        </w:rPr>
        <w:t>,</w:t>
      </w:r>
      <w:r>
        <w:rPr>
          <w:rFonts w:eastAsia="Times New Roman"/>
        </w:rPr>
        <w:t xml:space="preserve"> which permits the use of PMDs on most pedestrian infrastructure, bicycle paths and local roads</w:t>
      </w:r>
      <w:r w:rsidR="009B0D9E">
        <w:rPr>
          <w:rFonts w:eastAsia="Times New Roman"/>
        </w:rPr>
        <w:t>. Th</w:t>
      </w:r>
      <w:r w:rsidR="00503EF3">
        <w:rPr>
          <w:rFonts w:eastAsia="Times New Roman"/>
        </w:rPr>
        <w:t>is is</w:t>
      </w:r>
      <w:r w:rsidR="009B0D9E">
        <w:rPr>
          <w:rFonts w:eastAsia="Times New Roman"/>
        </w:rPr>
        <w:t xml:space="preserve"> combine</w:t>
      </w:r>
      <w:r w:rsidR="00503EF3">
        <w:rPr>
          <w:rFonts w:eastAsia="Times New Roman"/>
        </w:rPr>
        <w:t>d</w:t>
      </w:r>
      <w:r w:rsidR="009B0D9E">
        <w:rPr>
          <w:rFonts w:eastAsia="Times New Roman"/>
        </w:rPr>
        <w:t xml:space="preserve"> </w:t>
      </w:r>
      <w:r>
        <w:rPr>
          <w:rFonts w:eastAsia="Times New Roman"/>
        </w:rPr>
        <w:t xml:space="preserve">with speed restrictions </w:t>
      </w:r>
      <w:r w:rsidR="009B0D9E">
        <w:rPr>
          <w:rFonts w:eastAsia="Times New Roman"/>
        </w:rPr>
        <w:t>(</w:t>
      </w:r>
      <w:r w:rsidR="00503EF3">
        <w:rPr>
          <w:rFonts w:eastAsia="Times New Roman"/>
        </w:rPr>
        <w:t>S</w:t>
      </w:r>
      <w:r w:rsidR="009B0D9E">
        <w:rPr>
          <w:rFonts w:eastAsia="Times New Roman"/>
        </w:rPr>
        <w:t xml:space="preserve">peed </w:t>
      </w:r>
      <w:r w:rsidR="00503EF3">
        <w:rPr>
          <w:rFonts w:eastAsia="Times New Roman"/>
        </w:rPr>
        <w:t>A</w:t>
      </w:r>
      <w:r w:rsidR="009B0D9E">
        <w:rPr>
          <w:rFonts w:eastAsia="Times New Roman"/>
        </w:rPr>
        <w:t>pproach 1) for PMD</w:t>
      </w:r>
      <w:r w:rsidR="00B53B43">
        <w:rPr>
          <w:rFonts w:eastAsia="Times New Roman"/>
        </w:rPr>
        <w:t>s</w:t>
      </w:r>
      <w:r w:rsidR="00503EF3">
        <w:rPr>
          <w:rFonts w:eastAsia="Times New Roman"/>
        </w:rPr>
        <w:t>,</w:t>
      </w:r>
      <w:r w:rsidR="009B0D9E">
        <w:rPr>
          <w:rFonts w:eastAsia="Times New Roman"/>
        </w:rPr>
        <w:t xml:space="preserve"> </w:t>
      </w:r>
      <w:r>
        <w:rPr>
          <w:rFonts w:eastAsia="Times New Roman"/>
        </w:rPr>
        <w:t>of 10 km/h in pedestrian areas and 25 km/h on separated footpaths (designated for the use of bicycles), bicycle path or local road.</w:t>
      </w:r>
      <w:r w:rsidR="007F5FE4">
        <w:rPr>
          <w:rFonts w:eastAsia="Times New Roman"/>
        </w:rPr>
        <w:t xml:space="preserve"> </w:t>
      </w:r>
      <w:r w:rsidR="009B0D9E">
        <w:rPr>
          <w:rFonts w:eastAsia="Times New Roman"/>
        </w:rPr>
        <w:t xml:space="preserve">IAG is supportive of the </w:t>
      </w:r>
      <w:r w:rsidR="00503EF3">
        <w:rPr>
          <w:rFonts w:eastAsia="Times New Roman"/>
        </w:rPr>
        <w:t xml:space="preserve">NTCs </w:t>
      </w:r>
      <w:r w:rsidR="006C03C8">
        <w:rPr>
          <w:rFonts w:eastAsia="Times New Roman"/>
        </w:rPr>
        <w:t>pr</w:t>
      </w:r>
      <w:r w:rsidR="007F5FE4">
        <w:rPr>
          <w:rFonts w:eastAsia="Times New Roman"/>
        </w:rPr>
        <w:t xml:space="preserve">oposed </w:t>
      </w:r>
      <w:r w:rsidR="009B0D9E">
        <w:rPr>
          <w:rFonts w:eastAsia="Times New Roman"/>
        </w:rPr>
        <w:t>regulatory framework and</w:t>
      </w:r>
      <w:r w:rsidR="006C03C8">
        <w:rPr>
          <w:rFonts w:eastAsia="Times New Roman"/>
        </w:rPr>
        <w:t xml:space="preserve"> </w:t>
      </w:r>
      <w:r w:rsidR="007F5FE4">
        <w:rPr>
          <w:rFonts w:eastAsia="Times New Roman"/>
        </w:rPr>
        <w:t xml:space="preserve">preferred </w:t>
      </w:r>
      <w:r w:rsidR="006C03C8">
        <w:rPr>
          <w:rFonts w:eastAsia="Times New Roman"/>
        </w:rPr>
        <w:t>regulation option</w:t>
      </w:r>
      <w:r w:rsidR="009B0D9E">
        <w:rPr>
          <w:rFonts w:eastAsia="Times New Roman"/>
        </w:rPr>
        <w:t xml:space="preserve">. </w:t>
      </w:r>
      <w:r w:rsidR="00C77EA3">
        <w:rPr>
          <w:rFonts w:eastAsia="Times New Roman"/>
        </w:rPr>
        <w:t>We also support the implementation plan described in Appendix B which mandates helmet use for PMD users. I</w:t>
      </w:r>
      <w:r w:rsidR="009B0D9E">
        <w:rPr>
          <w:rFonts w:eastAsia="Times New Roman"/>
        </w:rPr>
        <w:t xml:space="preserve">AG </w:t>
      </w:r>
      <w:r w:rsidR="006C03C8">
        <w:rPr>
          <w:rFonts w:eastAsia="Times New Roman"/>
        </w:rPr>
        <w:t>suggests</w:t>
      </w:r>
      <w:r w:rsidR="006723F2">
        <w:rPr>
          <w:rFonts w:eastAsia="Times New Roman"/>
        </w:rPr>
        <w:t xml:space="preserve"> that</w:t>
      </w:r>
      <w:r w:rsidR="009B0D9E">
        <w:rPr>
          <w:rFonts w:eastAsia="Times New Roman"/>
        </w:rPr>
        <w:t xml:space="preserve"> further additions</w:t>
      </w:r>
      <w:r w:rsidR="000607A8">
        <w:rPr>
          <w:rFonts w:eastAsia="Times New Roman"/>
        </w:rPr>
        <w:t xml:space="preserve"> c</w:t>
      </w:r>
      <w:r w:rsidR="00B84115">
        <w:rPr>
          <w:rFonts w:eastAsia="Times New Roman"/>
        </w:rPr>
        <w:t>ould</w:t>
      </w:r>
      <w:r w:rsidR="006723F2">
        <w:rPr>
          <w:rFonts w:eastAsia="Times New Roman"/>
        </w:rPr>
        <w:t xml:space="preserve"> </w:t>
      </w:r>
      <w:r w:rsidR="00503EF3">
        <w:rPr>
          <w:rFonts w:eastAsia="Times New Roman"/>
        </w:rPr>
        <w:t xml:space="preserve">be considered </w:t>
      </w:r>
      <w:r w:rsidR="006723F2">
        <w:rPr>
          <w:rFonts w:eastAsia="Times New Roman"/>
        </w:rPr>
        <w:t xml:space="preserve">to </w:t>
      </w:r>
      <w:r w:rsidR="009B0D9E">
        <w:rPr>
          <w:rFonts w:eastAsia="Times New Roman"/>
        </w:rPr>
        <w:t>enhanc</w:t>
      </w:r>
      <w:r w:rsidR="00503EF3">
        <w:rPr>
          <w:rFonts w:eastAsia="Times New Roman"/>
        </w:rPr>
        <w:t>e</w:t>
      </w:r>
      <w:r w:rsidR="009B0D9E">
        <w:rPr>
          <w:rFonts w:eastAsia="Times New Roman"/>
        </w:rPr>
        <w:t xml:space="preserve"> the safety of pedestrians, PMD users and road users</w:t>
      </w:r>
      <w:r w:rsidR="00B84115">
        <w:rPr>
          <w:rFonts w:eastAsia="Times New Roman"/>
        </w:rPr>
        <w:t xml:space="preserve"> </w:t>
      </w:r>
      <w:r w:rsidR="0066403F">
        <w:rPr>
          <w:rFonts w:eastAsia="Times New Roman"/>
        </w:rPr>
        <w:t xml:space="preserve">(these </w:t>
      </w:r>
      <w:r w:rsidR="007F5FE4">
        <w:rPr>
          <w:rFonts w:eastAsia="Times New Roman"/>
        </w:rPr>
        <w:t xml:space="preserve">suggestions </w:t>
      </w:r>
      <w:r w:rsidR="0066403F">
        <w:rPr>
          <w:rFonts w:eastAsia="Times New Roman"/>
        </w:rPr>
        <w:t xml:space="preserve">have been included </w:t>
      </w:r>
      <w:r w:rsidR="000607A8">
        <w:rPr>
          <w:rFonts w:eastAsia="Times New Roman"/>
        </w:rPr>
        <w:t xml:space="preserve">in the submission answers </w:t>
      </w:r>
      <w:r w:rsidR="0066403F">
        <w:rPr>
          <w:rFonts w:eastAsia="Times New Roman"/>
        </w:rPr>
        <w:t xml:space="preserve">below). IAG also </w:t>
      </w:r>
      <w:r w:rsidR="006C03C8">
        <w:rPr>
          <w:rFonts w:eastAsia="Times New Roman"/>
        </w:rPr>
        <w:t>advocate</w:t>
      </w:r>
      <w:r w:rsidR="0066403F">
        <w:rPr>
          <w:rFonts w:eastAsia="Times New Roman"/>
        </w:rPr>
        <w:t xml:space="preserve">s that the NTC develop </w:t>
      </w:r>
      <w:r w:rsidR="00B84115">
        <w:rPr>
          <w:rFonts w:eastAsia="Times New Roman"/>
        </w:rPr>
        <w:t>recommendations to ensure that safety data is effectively captured</w:t>
      </w:r>
      <w:r w:rsidR="000607A8">
        <w:rPr>
          <w:rFonts w:eastAsia="Times New Roman"/>
        </w:rPr>
        <w:t xml:space="preserve"> </w:t>
      </w:r>
      <w:r w:rsidR="007F5FE4">
        <w:rPr>
          <w:rFonts w:eastAsia="Times New Roman"/>
        </w:rPr>
        <w:t>for PMD</w:t>
      </w:r>
      <w:r w:rsidR="00B53B43">
        <w:rPr>
          <w:rFonts w:eastAsia="Times New Roman"/>
        </w:rPr>
        <w:t>s</w:t>
      </w:r>
      <w:r w:rsidR="007F5FE4">
        <w:rPr>
          <w:rFonts w:eastAsia="Times New Roman"/>
        </w:rPr>
        <w:t xml:space="preserve"> </w:t>
      </w:r>
      <w:r w:rsidR="000607A8">
        <w:rPr>
          <w:rFonts w:eastAsia="Times New Roman"/>
        </w:rPr>
        <w:t>so</w:t>
      </w:r>
      <w:r w:rsidR="0066403F">
        <w:rPr>
          <w:rFonts w:eastAsia="Times New Roman"/>
        </w:rPr>
        <w:t xml:space="preserve"> that </w:t>
      </w:r>
      <w:r w:rsidR="000607A8">
        <w:rPr>
          <w:rFonts w:eastAsia="Times New Roman"/>
        </w:rPr>
        <w:t>safety incidents</w:t>
      </w:r>
      <w:r w:rsidR="0066403F">
        <w:rPr>
          <w:rFonts w:eastAsia="Times New Roman"/>
        </w:rPr>
        <w:t xml:space="preserve"> can be </w:t>
      </w:r>
      <w:r w:rsidR="007F5FE4">
        <w:rPr>
          <w:rFonts w:eastAsia="Times New Roman"/>
        </w:rPr>
        <w:t>monitored,</w:t>
      </w:r>
      <w:r w:rsidR="0066403F">
        <w:rPr>
          <w:rFonts w:eastAsia="Times New Roman"/>
        </w:rPr>
        <w:t xml:space="preserve"> </w:t>
      </w:r>
      <w:r w:rsidR="007F5FE4">
        <w:rPr>
          <w:rFonts w:eastAsia="Times New Roman"/>
        </w:rPr>
        <w:t xml:space="preserve">and the framework can be reviewed as required. </w:t>
      </w:r>
    </w:p>
    <w:p w14:paraId="4F9C10AF" w14:textId="77777777" w:rsidR="000607A8" w:rsidRDefault="000607A8" w:rsidP="0066403F">
      <w:pPr>
        <w:spacing w:line="360" w:lineRule="auto"/>
        <w:jc w:val="both"/>
        <w:rPr>
          <w:rFonts w:eastAsia="Times New Roman"/>
        </w:rPr>
      </w:pPr>
    </w:p>
    <w:p w14:paraId="6FA6FD99" w14:textId="390B23DF" w:rsidR="00B53B43" w:rsidRPr="00BD1912" w:rsidRDefault="007F5FE4" w:rsidP="00BD1912">
      <w:pPr>
        <w:spacing w:line="360" w:lineRule="auto"/>
        <w:jc w:val="both"/>
        <w:rPr>
          <w:rFonts w:eastAsia="Times New Roman"/>
        </w:rPr>
      </w:pPr>
      <w:r>
        <w:rPr>
          <w:rFonts w:eastAsia="Times New Roman"/>
        </w:rPr>
        <w:t xml:space="preserve">IAG suggests that effective roll out of a PMD regulatory framework requires a coordinated </w:t>
      </w:r>
      <w:r w:rsidR="0066403F">
        <w:rPr>
          <w:rFonts w:eastAsia="Times New Roman"/>
        </w:rPr>
        <w:t xml:space="preserve">national public education campaign </w:t>
      </w:r>
      <w:r>
        <w:rPr>
          <w:rFonts w:eastAsia="Times New Roman"/>
        </w:rPr>
        <w:t xml:space="preserve">which </w:t>
      </w:r>
      <w:r w:rsidR="000607A8">
        <w:rPr>
          <w:rFonts w:eastAsia="Times New Roman"/>
        </w:rPr>
        <w:t>outline</w:t>
      </w:r>
      <w:r>
        <w:rPr>
          <w:rFonts w:eastAsia="Times New Roman"/>
        </w:rPr>
        <w:t>s</w:t>
      </w:r>
      <w:r w:rsidR="0066403F">
        <w:rPr>
          <w:rFonts w:eastAsia="Times New Roman"/>
        </w:rPr>
        <w:t xml:space="preserve"> the</w:t>
      </w:r>
      <w:r>
        <w:rPr>
          <w:rFonts w:eastAsia="Times New Roman"/>
        </w:rPr>
        <w:t xml:space="preserve"> speeds and operating environments in which PMDs can be used and </w:t>
      </w:r>
      <w:r w:rsidR="000607A8">
        <w:rPr>
          <w:rFonts w:eastAsia="Times New Roman"/>
        </w:rPr>
        <w:t xml:space="preserve">the expectation of </w:t>
      </w:r>
      <w:r w:rsidR="0066403F">
        <w:rPr>
          <w:rFonts w:eastAsia="Times New Roman"/>
        </w:rPr>
        <w:t>respect for all road users</w:t>
      </w:r>
      <w:r>
        <w:rPr>
          <w:rFonts w:eastAsia="Times New Roman"/>
        </w:rPr>
        <w:t>. This campaign will also need to call out the</w:t>
      </w:r>
      <w:r w:rsidR="0066403F">
        <w:rPr>
          <w:rFonts w:eastAsia="Times New Roman"/>
        </w:rPr>
        <w:t xml:space="preserve"> liability risks that PMD users should be aware of</w:t>
      </w:r>
      <w:r>
        <w:rPr>
          <w:rFonts w:eastAsia="Times New Roman"/>
        </w:rPr>
        <w:t xml:space="preserve"> and actions that can be taken to reduce those risks</w:t>
      </w:r>
      <w:r w:rsidR="0066403F">
        <w:rPr>
          <w:rFonts w:eastAsia="Times New Roman"/>
        </w:rPr>
        <w:t>.</w:t>
      </w:r>
      <w:r w:rsidR="000607A8">
        <w:rPr>
          <w:rFonts w:eastAsia="Times New Roman"/>
        </w:rPr>
        <w:t xml:space="preserve"> </w:t>
      </w:r>
    </w:p>
    <w:p w14:paraId="745BCB9E" w14:textId="77777777" w:rsidR="00142051" w:rsidRDefault="00142051" w:rsidP="00142051">
      <w:pPr>
        <w:rPr>
          <w:b/>
        </w:rPr>
      </w:pPr>
      <w:r>
        <w:rPr>
          <w:b/>
        </w:rPr>
        <w:lastRenderedPageBreak/>
        <w:t>About IAG</w:t>
      </w:r>
    </w:p>
    <w:p w14:paraId="009F621D" w14:textId="77777777" w:rsidR="00142051" w:rsidRDefault="00142051" w:rsidP="00142051"/>
    <w:p w14:paraId="7D83B3CB" w14:textId="77777777" w:rsidR="00142051" w:rsidRDefault="00142051" w:rsidP="00142051">
      <w:pPr>
        <w:adjustRightInd w:val="0"/>
        <w:spacing w:line="360" w:lineRule="auto"/>
        <w:jc w:val="both"/>
        <w:textAlignment w:val="center"/>
        <w:rPr>
          <w:rFonts w:eastAsia="Times New Roman" w:cs="MinionPro-Regular"/>
          <w:szCs w:val="24"/>
        </w:rPr>
      </w:pPr>
      <w:r>
        <w:rPr>
          <w:rFonts w:eastAsia="Times New Roman" w:cs="MinionPro-Regular"/>
          <w:szCs w:val="24"/>
        </w:rPr>
        <w:t xml:space="preserve">Our purpose is to make your world a safer place, which means we are working to create a safer, stronger and more confident tomorrow for our customers, partners, communities, shareholders and our people throughout Asia Pacific. IAG is the parent company of a general insurance group, with operations in Australia and New Zealand. Our businesses sell insurance under many leading brands, including: NRMA Insurance, CGU, SGIO, SGIC, Swann Insurance and WFI in Australia; NZI, State, AMI and Lumley Insurance in New Zealand. </w:t>
      </w:r>
    </w:p>
    <w:p w14:paraId="40957AF8" w14:textId="77777777" w:rsidR="00142051" w:rsidRDefault="00142051" w:rsidP="00142051">
      <w:pPr>
        <w:adjustRightInd w:val="0"/>
        <w:spacing w:line="360" w:lineRule="auto"/>
        <w:jc w:val="both"/>
        <w:textAlignment w:val="center"/>
        <w:rPr>
          <w:rFonts w:eastAsia="Times New Roman"/>
        </w:rPr>
      </w:pPr>
      <w:r>
        <w:rPr>
          <w:rFonts w:eastAsia="Times New Roman"/>
        </w:rPr>
        <w:t xml:space="preserve"> </w:t>
      </w:r>
    </w:p>
    <w:p w14:paraId="419B43A7" w14:textId="77777777" w:rsidR="00142051" w:rsidRDefault="00142051" w:rsidP="002701A6">
      <w:pPr>
        <w:spacing w:line="360" w:lineRule="auto"/>
      </w:pPr>
      <w:r>
        <w:t xml:space="preserve">As one of the largest motor vehicle insurers in the Asia-Pacific, IAG develops, underwrites, sells and manages claims for general insurance products that are sold directly and indirectly to customers and businesses. IAG insures over 3.2 million passenger vehicles in Australia. IAG also provides CTP insurance in New South Wales, South Australia and the Australian Capital Territory. </w:t>
      </w:r>
    </w:p>
    <w:p w14:paraId="7C7F230C" w14:textId="77777777" w:rsidR="00142051" w:rsidRDefault="00142051" w:rsidP="00142051">
      <w:pPr>
        <w:spacing w:line="360" w:lineRule="auto"/>
      </w:pPr>
    </w:p>
    <w:p w14:paraId="34708B35" w14:textId="77777777" w:rsidR="00142051" w:rsidRDefault="00142051" w:rsidP="00142051">
      <w:pPr>
        <w:spacing w:line="360" w:lineRule="auto"/>
      </w:pPr>
      <w:r>
        <w:t>With this response, IAG continues with contributions to the range of NTC discussion papers as we aim to take a leadership role in promoting the safe, accessible and connected communities.</w:t>
      </w:r>
    </w:p>
    <w:p w14:paraId="5C992FDE" w14:textId="77777777" w:rsidR="00142051" w:rsidRDefault="00142051" w:rsidP="00503833">
      <w:pPr>
        <w:spacing w:line="360" w:lineRule="auto"/>
        <w:rPr>
          <w:rFonts w:eastAsia="Times New Roman"/>
        </w:rPr>
      </w:pPr>
    </w:p>
    <w:p w14:paraId="7BCE39A7" w14:textId="77777777" w:rsidR="00503EF3" w:rsidRDefault="00503EF3" w:rsidP="002701A6">
      <w:pPr>
        <w:spacing w:line="360" w:lineRule="auto"/>
        <w:rPr>
          <w:rFonts w:eastAsia="Times New Roman"/>
          <w:b/>
        </w:rPr>
      </w:pPr>
      <w:r w:rsidRPr="00503EF3">
        <w:rPr>
          <w:rFonts w:eastAsia="Times New Roman"/>
          <w:b/>
        </w:rPr>
        <w:t>RIS Questions</w:t>
      </w:r>
    </w:p>
    <w:p w14:paraId="3186ABFD" w14:textId="77777777" w:rsidR="002701A6" w:rsidRPr="00503EF3" w:rsidRDefault="002701A6" w:rsidP="002701A6">
      <w:pPr>
        <w:spacing w:line="360" w:lineRule="auto"/>
        <w:rPr>
          <w:rFonts w:eastAsia="Times New Roman"/>
          <w:b/>
        </w:rPr>
      </w:pPr>
    </w:p>
    <w:p w14:paraId="1680C72E" w14:textId="77777777" w:rsidR="00CC07B3" w:rsidRPr="00BD0277" w:rsidRDefault="00503EF3" w:rsidP="002701A6">
      <w:pPr>
        <w:pStyle w:val="BodyTextArial"/>
        <w:numPr>
          <w:ilvl w:val="0"/>
          <w:numId w:val="12"/>
        </w:numPr>
        <w:spacing w:line="360" w:lineRule="auto"/>
        <w:rPr>
          <w:b/>
        </w:rPr>
      </w:pPr>
      <w:r w:rsidRPr="00BD0277">
        <w:rPr>
          <w:b/>
        </w:rPr>
        <w:t>Are the requirements in the proposed regulatory framework appropriate? Are there any requirements that should be removed, included or modified? Please provide a rationale to support your position.</w:t>
      </w:r>
    </w:p>
    <w:p w14:paraId="6565E103" w14:textId="77777777" w:rsidR="00503EF3" w:rsidRDefault="00503EF3" w:rsidP="002701A6">
      <w:pPr>
        <w:pStyle w:val="BodyTextArial"/>
        <w:spacing w:line="360" w:lineRule="auto"/>
      </w:pPr>
    </w:p>
    <w:p w14:paraId="10761DDD" w14:textId="77777777" w:rsidR="00503EF3" w:rsidRDefault="00503EF3" w:rsidP="002701A6">
      <w:pPr>
        <w:pStyle w:val="BodyTextArial"/>
        <w:spacing w:line="360" w:lineRule="auto"/>
      </w:pPr>
      <w:r>
        <w:t xml:space="preserve">IAG supports the NTC’s </w:t>
      </w:r>
      <w:r w:rsidR="00653F5C">
        <w:t xml:space="preserve">development of maximum size and weight specifications for PMDs. As discussed in the RIS, PMDs </w:t>
      </w:r>
      <w:r w:rsidR="002701A6">
        <w:t>offer</w:t>
      </w:r>
      <w:r w:rsidR="00E139E9">
        <w:t xml:space="preserve"> a solution </w:t>
      </w:r>
      <w:r w:rsidR="002701A6">
        <w:t xml:space="preserve">to address </w:t>
      </w:r>
      <w:r w:rsidR="007F5FE4">
        <w:t xml:space="preserve">the </w:t>
      </w:r>
      <w:r w:rsidR="00653F5C">
        <w:t xml:space="preserve">first/last mile transport </w:t>
      </w:r>
      <w:r w:rsidR="002701A6">
        <w:t>issue and therefore must be compatible for</w:t>
      </w:r>
      <w:r w:rsidR="00E139E9">
        <w:t xml:space="preserve"> people to use </w:t>
      </w:r>
      <w:r w:rsidR="002701A6">
        <w:t xml:space="preserve">on Australian public transport. PMDs </w:t>
      </w:r>
      <w:r w:rsidR="0066403F">
        <w:t xml:space="preserve">dimensions </w:t>
      </w:r>
      <w:r w:rsidR="002701A6">
        <w:t xml:space="preserve">also must allow for shared </w:t>
      </w:r>
      <w:r w:rsidR="00E139E9">
        <w:t xml:space="preserve">and safe </w:t>
      </w:r>
      <w:r w:rsidR="002701A6">
        <w:t xml:space="preserve">access in </w:t>
      </w:r>
      <w:r w:rsidR="0066403F">
        <w:t>pedestrian</w:t>
      </w:r>
      <w:r w:rsidR="002701A6">
        <w:t xml:space="preserve"> environments.</w:t>
      </w:r>
    </w:p>
    <w:p w14:paraId="1E645EBC" w14:textId="77777777" w:rsidR="002701A6" w:rsidRDefault="002701A6" w:rsidP="002701A6">
      <w:pPr>
        <w:pStyle w:val="BodyTextArial"/>
        <w:spacing w:line="360" w:lineRule="auto"/>
      </w:pPr>
    </w:p>
    <w:p w14:paraId="0B9315A9" w14:textId="77777777" w:rsidR="00D73FFB" w:rsidRDefault="002701A6" w:rsidP="002701A6">
      <w:pPr>
        <w:pStyle w:val="BodyTextArial"/>
        <w:spacing w:line="360" w:lineRule="auto"/>
      </w:pPr>
      <w:r>
        <w:t>In addition to the</w:t>
      </w:r>
      <w:r w:rsidR="00D73FFB">
        <w:t xml:space="preserve"> above</w:t>
      </w:r>
      <w:r>
        <w:t xml:space="preserve"> specifications, IAG </w:t>
      </w:r>
      <w:r w:rsidR="0066403F">
        <w:t>suggests</w:t>
      </w:r>
      <w:r>
        <w:t xml:space="preserve"> there may be </w:t>
      </w:r>
      <w:r w:rsidR="0066403F">
        <w:t xml:space="preserve">additional </w:t>
      </w:r>
      <w:r>
        <w:t xml:space="preserve">value in looking at </w:t>
      </w:r>
      <w:r w:rsidR="00D73FFB">
        <w:t>the fol</w:t>
      </w:r>
      <w:r w:rsidR="00E139E9">
        <w:t>lowing</w:t>
      </w:r>
      <w:r w:rsidR="00D73FFB">
        <w:t>:</w:t>
      </w:r>
      <w:r>
        <w:t xml:space="preserve"> </w:t>
      </w:r>
    </w:p>
    <w:p w14:paraId="24B2B330" w14:textId="77777777" w:rsidR="002701A6" w:rsidRDefault="00D73FFB" w:rsidP="00D73FFB">
      <w:pPr>
        <w:pStyle w:val="BodyTextArial"/>
        <w:numPr>
          <w:ilvl w:val="0"/>
          <w:numId w:val="13"/>
        </w:numPr>
        <w:spacing w:line="360" w:lineRule="auto"/>
      </w:pPr>
      <w:r>
        <w:t>A</w:t>
      </w:r>
      <w:r w:rsidR="002701A6">
        <w:t xml:space="preserve"> </w:t>
      </w:r>
      <w:r w:rsidR="00E139E9">
        <w:t xml:space="preserve">specified </w:t>
      </w:r>
      <w:r w:rsidR="002701A6">
        <w:t xml:space="preserve">minimum </w:t>
      </w:r>
      <w:r>
        <w:t xml:space="preserve">wheel size (to ensure that PMDs can safely traverse drains, potholes and other roadway obstacles). </w:t>
      </w:r>
    </w:p>
    <w:p w14:paraId="7690F427" w14:textId="77777777" w:rsidR="00BD0277" w:rsidRDefault="00D73FFB" w:rsidP="00BD0277">
      <w:pPr>
        <w:pStyle w:val="BodyTextArial"/>
        <w:numPr>
          <w:ilvl w:val="0"/>
          <w:numId w:val="13"/>
        </w:numPr>
        <w:spacing w:line="360" w:lineRule="auto"/>
      </w:pPr>
      <w:r>
        <w:t xml:space="preserve">An operating mechanism which </w:t>
      </w:r>
      <w:r w:rsidR="00E139E9">
        <w:t>sets</w:t>
      </w:r>
      <w:r>
        <w:t xml:space="preserve"> the PMD speed to “</w:t>
      </w:r>
      <w:r w:rsidR="00BD0277">
        <w:t>pedestrian mode” (</w:t>
      </w:r>
      <w:r w:rsidR="00E139E9">
        <w:t xml:space="preserve">in this </w:t>
      </w:r>
      <w:r w:rsidR="0066403F">
        <w:t>m</w:t>
      </w:r>
      <w:r w:rsidR="00E139E9">
        <w:t xml:space="preserve">ode the PMD </w:t>
      </w:r>
      <w:r w:rsidR="00BD0277">
        <w:t xml:space="preserve">will not </w:t>
      </w:r>
      <w:r w:rsidR="00E139E9">
        <w:t>be able to</w:t>
      </w:r>
      <w:r w:rsidR="00BD0277">
        <w:t xml:space="preserve"> travel at over 10km/h). This may help to address issues for PMD users who are having to guess what speed they are travelling (where device doesn’t display </w:t>
      </w:r>
      <w:r w:rsidR="0066403F">
        <w:t xml:space="preserve">a </w:t>
      </w:r>
      <w:r w:rsidR="00BD0277">
        <w:t xml:space="preserve">speed). </w:t>
      </w:r>
      <w:r w:rsidR="00462891">
        <w:t xml:space="preserve">This mechanism </w:t>
      </w:r>
      <w:r w:rsidR="007F5FE4">
        <w:t>will also facilitate a</w:t>
      </w:r>
      <w:r w:rsidR="00462891">
        <w:t xml:space="preserve"> PMDs </w:t>
      </w:r>
      <w:r w:rsidR="007F5FE4">
        <w:t>being</w:t>
      </w:r>
      <w:r w:rsidR="00462891">
        <w:t xml:space="preserve"> restricted to a </w:t>
      </w:r>
      <w:r w:rsidR="00BD0277">
        <w:t>max 10km/h i</w:t>
      </w:r>
      <w:r w:rsidR="00462891">
        <w:t xml:space="preserve">n cases where </w:t>
      </w:r>
      <w:r w:rsidR="00E139E9">
        <w:t>they are</w:t>
      </w:r>
      <w:r w:rsidR="00462891">
        <w:t xml:space="preserve"> being</w:t>
      </w:r>
      <w:r w:rsidR="00BD0277">
        <w:t xml:space="preserve"> used by children.</w:t>
      </w:r>
    </w:p>
    <w:p w14:paraId="31F37374" w14:textId="77777777" w:rsidR="007F5FE4" w:rsidRDefault="007F5FE4" w:rsidP="00BD0277">
      <w:pPr>
        <w:pStyle w:val="BodyTextArial"/>
        <w:spacing w:line="360" w:lineRule="auto"/>
      </w:pPr>
    </w:p>
    <w:p w14:paraId="63A10992" w14:textId="77777777" w:rsidR="00BD0277" w:rsidRPr="00BD0277" w:rsidRDefault="00BD0277" w:rsidP="00BD0277">
      <w:pPr>
        <w:pStyle w:val="BodyTextArial"/>
        <w:numPr>
          <w:ilvl w:val="0"/>
          <w:numId w:val="12"/>
        </w:numPr>
        <w:spacing w:line="360" w:lineRule="auto"/>
        <w:rPr>
          <w:b/>
        </w:rPr>
      </w:pPr>
      <w:r w:rsidRPr="00BD0277">
        <w:rPr>
          <w:b/>
        </w:rPr>
        <w:t>Is 60kg a suitable maximum weight for a PMD? If not, what is a more suitable weight and what other factors should be considered? Please provide a rationale to support your position</w:t>
      </w:r>
    </w:p>
    <w:p w14:paraId="33F91D7A" w14:textId="77777777" w:rsidR="00BD0277" w:rsidRDefault="00BD0277" w:rsidP="00BD0277">
      <w:pPr>
        <w:pStyle w:val="BodyTextArial"/>
        <w:spacing w:line="360" w:lineRule="auto"/>
        <w:ind w:left="360"/>
      </w:pPr>
    </w:p>
    <w:p w14:paraId="76EC9953" w14:textId="77777777" w:rsidR="00BD0277" w:rsidRDefault="00BD0277" w:rsidP="00E139E9">
      <w:pPr>
        <w:pStyle w:val="BodyTextArial"/>
        <w:spacing w:line="360" w:lineRule="auto"/>
        <w:ind w:left="360"/>
      </w:pPr>
      <w:r>
        <w:lastRenderedPageBreak/>
        <w:t>IAG acknowledges that the weight limit of 60 kg has been se</w:t>
      </w:r>
      <w:r w:rsidR="00CF2D60">
        <w:t>lected as it aligns with the limits set in Queensland and South Australia and is large enough to</w:t>
      </w:r>
      <w:r>
        <w:t xml:space="preserve"> </w:t>
      </w:r>
      <w:r w:rsidR="00CF2D60">
        <w:t>allow</w:t>
      </w:r>
      <w:r>
        <w:t xml:space="preserve"> inclusion of </w:t>
      </w:r>
      <w:proofErr w:type="spellStart"/>
      <w:r>
        <w:t>Segways</w:t>
      </w:r>
      <w:proofErr w:type="spellEnd"/>
      <w:r>
        <w:t xml:space="preserve"> into the PMD regulatory framework. </w:t>
      </w:r>
    </w:p>
    <w:p w14:paraId="6DC2F458" w14:textId="77777777" w:rsidR="00BD0277" w:rsidRDefault="00BD0277" w:rsidP="00BD0277">
      <w:pPr>
        <w:pStyle w:val="BodyTextArial"/>
        <w:spacing w:line="360" w:lineRule="auto"/>
        <w:ind w:left="360"/>
      </w:pPr>
    </w:p>
    <w:p w14:paraId="6B24C316" w14:textId="77777777" w:rsidR="00BD0277" w:rsidRPr="00BD0277" w:rsidRDefault="00BD0277" w:rsidP="00BD0277">
      <w:pPr>
        <w:pStyle w:val="BodyTextArial"/>
        <w:numPr>
          <w:ilvl w:val="0"/>
          <w:numId w:val="12"/>
        </w:numPr>
        <w:spacing w:line="360" w:lineRule="auto"/>
        <w:rPr>
          <w:b/>
        </w:rPr>
      </w:pPr>
      <w:r w:rsidRPr="00BD0277">
        <w:rPr>
          <w:b/>
        </w:rPr>
        <w:t xml:space="preserve">Should children under the age of 16 years old continue to be permitted to use a </w:t>
      </w:r>
      <w:proofErr w:type="spellStart"/>
      <w:r w:rsidRPr="00BD0277">
        <w:rPr>
          <w:b/>
        </w:rPr>
        <w:t>motorised</w:t>
      </w:r>
      <w:proofErr w:type="spellEnd"/>
      <w:r w:rsidRPr="00BD0277">
        <w:rPr>
          <w:b/>
        </w:rPr>
        <w:t xml:space="preserve"> scooter incapable of travelling more than 10km/h on level ground on roads and paths? Or should they be able to use any device that complies with the proposed PMD framework? (see Appendix A). Please provide a rationale to support your position</w:t>
      </w:r>
    </w:p>
    <w:p w14:paraId="7C5D0B37" w14:textId="77777777" w:rsidR="00503EF3" w:rsidRPr="00EF2765" w:rsidRDefault="00503EF3" w:rsidP="00CD0682">
      <w:pPr>
        <w:pStyle w:val="BodyTextArial"/>
      </w:pPr>
    </w:p>
    <w:p w14:paraId="1884304C" w14:textId="77777777" w:rsidR="00653F5C" w:rsidRDefault="00D421BE" w:rsidP="00D421BE">
      <w:pPr>
        <w:pStyle w:val="BodyTextArial"/>
        <w:spacing w:line="360" w:lineRule="auto"/>
        <w:ind w:left="357"/>
        <w:rPr>
          <w:rFonts w:eastAsia="Times New Roman"/>
        </w:rPr>
      </w:pPr>
      <w:r>
        <w:rPr>
          <w:rFonts w:eastAsia="Times New Roman"/>
        </w:rPr>
        <w:t>T</w:t>
      </w:r>
      <w:r w:rsidR="005A71A4">
        <w:rPr>
          <w:rFonts w:eastAsia="Times New Roman"/>
        </w:rPr>
        <w:t>he RIS paper</w:t>
      </w:r>
      <w:r>
        <w:rPr>
          <w:rFonts w:eastAsia="Times New Roman"/>
        </w:rPr>
        <w:t xml:space="preserve"> identifies that</w:t>
      </w:r>
      <w:r w:rsidR="005A71A4">
        <w:rPr>
          <w:rFonts w:eastAsia="Times New Roman"/>
        </w:rPr>
        <w:t xml:space="preserve"> t</w:t>
      </w:r>
      <w:r w:rsidR="00462891">
        <w:rPr>
          <w:rFonts w:eastAsia="Times New Roman"/>
        </w:rPr>
        <w:t xml:space="preserve">he enforcement of </w:t>
      </w:r>
      <w:r w:rsidR="005A71A4">
        <w:rPr>
          <w:rFonts w:eastAsia="Times New Roman"/>
        </w:rPr>
        <w:t>age and corresponding speed restrictions for PMDs is likely to be extremely challenging. For this reason, we believe there may be benefit in including a speed limiting device on PMDs</w:t>
      </w:r>
      <w:r w:rsidR="00E139E9">
        <w:rPr>
          <w:rFonts w:eastAsia="Times New Roman"/>
        </w:rPr>
        <w:t xml:space="preserve"> </w:t>
      </w:r>
      <w:r w:rsidR="0066403F">
        <w:rPr>
          <w:rFonts w:eastAsia="Times New Roman"/>
        </w:rPr>
        <w:t xml:space="preserve">for children </w:t>
      </w:r>
      <w:r w:rsidR="00E139E9">
        <w:rPr>
          <w:rFonts w:eastAsia="Times New Roman"/>
        </w:rPr>
        <w:t>as a specification within the regulatory framework</w:t>
      </w:r>
      <w:r w:rsidR="005A71A4">
        <w:rPr>
          <w:rFonts w:eastAsia="Times New Roman"/>
        </w:rPr>
        <w:t xml:space="preserve"> (see question 1).</w:t>
      </w:r>
    </w:p>
    <w:p w14:paraId="223D9C11" w14:textId="77777777" w:rsidR="00947335" w:rsidRDefault="00947335" w:rsidP="00CD0682">
      <w:pPr>
        <w:pStyle w:val="BodyTextArial"/>
        <w:rPr>
          <w:rFonts w:eastAsia="Times New Roman"/>
        </w:rPr>
      </w:pPr>
    </w:p>
    <w:p w14:paraId="30990474" w14:textId="77777777" w:rsidR="00653F5C" w:rsidRPr="005A71A4" w:rsidRDefault="005A71A4" w:rsidP="005A71A4">
      <w:pPr>
        <w:pStyle w:val="BodyTextArial"/>
        <w:numPr>
          <w:ilvl w:val="0"/>
          <w:numId w:val="12"/>
        </w:numPr>
        <w:rPr>
          <w:rFonts w:eastAsia="Times New Roman"/>
          <w:b/>
        </w:rPr>
      </w:pPr>
      <w:r w:rsidRPr="005A71A4">
        <w:rPr>
          <w:rFonts w:eastAsia="Times New Roman"/>
          <w:b/>
        </w:rPr>
        <w:t>Question 4: Do you agree with the criteria selected to assess the options? Are there any key impacts not covered by these criteria</w:t>
      </w:r>
      <w:r>
        <w:rPr>
          <w:rFonts w:eastAsia="Times New Roman"/>
          <w:b/>
        </w:rPr>
        <w:t>?</w:t>
      </w:r>
    </w:p>
    <w:p w14:paraId="794CAC88" w14:textId="77777777" w:rsidR="00653F5C" w:rsidRDefault="00653F5C" w:rsidP="00CD0682">
      <w:pPr>
        <w:pStyle w:val="BodyTextArial"/>
        <w:rPr>
          <w:rFonts w:eastAsia="Times New Roman"/>
        </w:rPr>
      </w:pPr>
    </w:p>
    <w:p w14:paraId="0D83C7CF" w14:textId="77777777" w:rsidR="00653F5C" w:rsidRDefault="005A71A4" w:rsidP="00D421BE">
      <w:pPr>
        <w:pStyle w:val="BodyTextArial"/>
        <w:ind w:firstLine="360"/>
        <w:rPr>
          <w:rFonts w:eastAsia="Times New Roman"/>
        </w:rPr>
      </w:pPr>
      <w:r>
        <w:rPr>
          <w:rFonts w:eastAsia="Times New Roman"/>
        </w:rPr>
        <w:t>IAG agrees with the criteria selected to assess the proposed regulat</w:t>
      </w:r>
      <w:r w:rsidR="004D1F73">
        <w:rPr>
          <w:rFonts w:eastAsia="Times New Roman"/>
        </w:rPr>
        <w:t>ory options</w:t>
      </w:r>
      <w:r>
        <w:rPr>
          <w:rFonts w:eastAsia="Times New Roman"/>
        </w:rPr>
        <w:t>.</w:t>
      </w:r>
    </w:p>
    <w:p w14:paraId="139500FB" w14:textId="77777777" w:rsidR="005A71A4" w:rsidRDefault="005A71A4" w:rsidP="00CD0682">
      <w:pPr>
        <w:pStyle w:val="BodyTextArial"/>
        <w:rPr>
          <w:rFonts w:eastAsia="Times New Roman"/>
        </w:rPr>
      </w:pPr>
    </w:p>
    <w:p w14:paraId="56535A2D" w14:textId="77777777" w:rsidR="005A71A4" w:rsidRPr="005A71A4" w:rsidRDefault="005A71A4" w:rsidP="005A71A4">
      <w:pPr>
        <w:pStyle w:val="BodyTextArial"/>
        <w:numPr>
          <w:ilvl w:val="0"/>
          <w:numId w:val="12"/>
        </w:numPr>
        <w:rPr>
          <w:rFonts w:eastAsia="Times New Roman"/>
          <w:b/>
        </w:rPr>
      </w:pPr>
      <w:r w:rsidRPr="005A71A4">
        <w:rPr>
          <w:rFonts w:eastAsia="Times New Roman"/>
          <w:b/>
        </w:rPr>
        <w:t>Question 5: When considering the safety risk assessment, access and amenity impacts, broader economic impacts, as well as compliance and enforcement impacts; has the impact analysis sufficiently considered all relevant variables and available evidence? What other factors could be included in the analysis? Please provide any additional evidence. (See Appendix E - Impact Analysis).</w:t>
      </w:r>
    </w:p>
    <w:p w14:paraId="56B744A4" w14:textId="77777777" w:rsidR="004D1F73" w:rsidRDefault="004D1F73" w:rsidP="00CD0682">
      <w:pPr>
        <w:pStyle w:val="BodyTextArial"/>
        <w:rPr>
          <w:rFonts w:eastAsia="Times New Roman"/>
        </w:rPr>
      </w:pPr>
    </w:p>
    <w:p w14:paraId="4FD12EAE" w14:textId="197A4DE3" w:rsidR="00BB2B13" w:rsidRDefault="004E5687" w:rsidP="00D421BE">
      <w:pPr>
        <w:pStyle w:val="BodyTextArial"/>
        <w:spacing w:line="360" w:lineRule="auto"/>
        <w:ind w:left="357"/>
        <w:rPr>
          <w:rFonts w:eastAsia="Times New Roman"/>
        </w:rPr>
      </w:pPr>
      <w:r>
        <w:rPr>
          <w:rFonts w:eastAsia="Times New Roman"/>
        </w:rPr>
        <w:t xml:space="preserve">One of the factors that </w:t>
      </w:r>
      <w:r w:rsidR="00604584">
        <w:rPr>
          <w:rFonts w:eastAsia="Times New Roman"/>
        </w:rPr>
        <w:t>requires further consideration</w:t>
      </w:r>
      <w:r>
        <w:rPr>
          <w:rFonts w:eastAsia="Times New Roman"/>
        </w:rPr>
        <w:t xml:space="preserve"> within the RIS paper’</w:t>
      </w:r>
      <w:r w:rsidR="0080122C">
        <w:rPr>
          <w:rFonts w:eastAsia="Times New Roman"/>
        </w:rPr>
        <w:t xml:space="preserve">s </w:t>
      </w:r>
      <w:r>
        <w:rPr>
          <w:rFonts w:eastAsia="Times New Roman"/>
        </w:rPr>
        <w:t>impact analysis is the broader health and social costs that are likely to arise with the increased safety risks resulting from PMDs access</w:t>
      </w:r>
      <w:r w:rsidR="0080122C">
        <w:rPr>
          <w:rFonts w:eastAsia="Times New Roman"/>
        </w:rPr>
        <w:t xml:space="preserve">ing </w:t>
      </w:r>
      <w:r>
        <w:rPr>
          <w:rFonts w:eastAsia="Times New Roman"/>
        </w:rPr>
        <w:t xml:space="preserve">pathways and local roads. </w:t>
      </w:r>
      <w:r w:rsidR="00E747D3">
        <w:rPr>
          <w:rFonts w:eastAsia="Times New Roman"/>
        </w:rPr>
        <w:t xml:space="preserve">Data provided by the Royal Australian College of Surgeons </w:t>
      </w:r>
      <w:r w:rsidR="00BB2B13">
        <w:rPr>
          <w:rFonts w:eastAsia="Times New Roman"/>
        </w:rPr>
        <w:t>(in the RIS) identified</w:t>
      </w:r>
      <w:r w:rsidR="00E747D3">
        <w:rPr>
          <w:rFonts w:eastAsia="Times New Roman"/>
        </w:rPr>
        <w:t xml:space="preserve"> 134 e-scooter related incidents </w:t>
      </w:r>
      <w:r w:rsidR="00B84115">
        <w:rPr>
          <w:rFonts w:eastAsia="Times New Roman"/>
        </w:rPr>
        <w:t>for which</w:t>
      </w:r>
      <w:r w:rsidR="007E03EA">
        <w:rPr>
          <w:rFonts w:eastAsia="Times New Roman"/>
        </w:rPr>
        <w:t xml:space="preserve"> treatment </w:t>
      </w:r>
      <w:r w:rsidR="00B84115">
        <w:rPr>
          <w:rFonts w:eastAsia="Times New Roman"/>
        </w:rPr>
        <w:t xml:space="preserve">was sought </w:t>
      </w:r>
      <w:r w:rsidR="007E03EA">
        <w:rPr>
          <w:rFonts w:eastAsia="Times New Roman"/>
        </w:rPr>
        <w:t>over an approximate two-month period in Q</w:t>
      </w:r>
      <w:r w:rsidR="00F96EF4">
        <w:rPr>
          <w:rFonts w:eastAsia="Times New Roman"/>
        </w:rPr>
        <w:t>ueensland</w:t>
      </w:r>
      <w:r w:rsidR="009D5CDA">
        <w:rPr>
          <w:rFonts w:eastAsia="Times New Roman"/>
        </w:rPr>
        <w:t xml:space="preserve">. </w:t>
      </w:r>
      <w:r w:rsidR="000E0940" w:rsidRPr="00BD1912">
        <w:rPr>
          <w:rFonts w:eastAsia="Times New Roman"/>
        </w:rPr>
        <w:t>This injury frequency is concerning, as the Queensland cohort of e scooter riders travelled only in pedestrian areas and did not interact with vehicles on public roads.</w:t>
      </w:r>
      <w:r w:rsidR="00F96EF4" w:rsidRPr="00BD1912">
        <w:rPr>
          <w:rFonts w:eastAsia="Times New Roman"/>
        </w:rPr>
        <w:t xml:space="preserve"> </w:t>
      </w:r>
      <w:r w:rsidR="00E9113D" w:rsidRPr="00BD1912">
        <w:rPr>
          <w:rFonts w:eastAsia="Times New Roman"/>
        </w:rPr>
        <w:t xml:space="preserve">It is noted, that </w:t>
      </w:r>
      <w:r w:rsidR="007E03EA" w:rsidRPr="00BD1912">
        <w:rPr>
          <w:rFonts w:eastAsia="Times New Roman"/>
        </w:rPr>
        <w:t xml:space="preserve">60% </w:t>
      </w:r>
      <w:r w:rsidR="00F96EF4" w:rsidRPr="00BD1912">
        <w:rPr>
          <w:rFonts w:eastAsia="Times New Roman"/>
        </w:rPr>
        <w:t>of these incidents</w:t>
      </w:r>
      <w:r w:rsidR="00F96EF4">
        <w:rPr>
          <w:rFonts w:eastAsia="Times New Roman"/>
        </w:rPr>
        <w:t xml:space="preserve"> </w:t>
      </w:r>
      <w:r w:rsidR="007E03EA">
        <w:rPr>
          <w:rFonts w:eastAsia="Times New Roman"/>
        </w:rPr>
        <w:t xml:space="preserve">were </w:t>
      </w:r>
      <w:r w:rsidR="00E9113D">
        <w:rPr>
          <w:rFonts w:eastAsia="Times New Roman"/>
        </w:rPr>
        <w:t>recorded as</w:t>
      </w:r>
      <w:r w:rsidR="007E03EA">
        <w:rPr>
          <w:rFonts w:eastAsia="Times New Roman"/>
        </w:rPr>
        <w:t xml:space="preserve"> minor injuries</w:t>
      </w:r>
      <w:r w:rsidR="00E272E9">
        <w:rPr>
          <w:rFonts w:eastAsia="Times New Roman"/>
        </w:rPr>
        <w:t>.</w:t>
      </w:r>
      <w:r w:rsidR="00F96EF4">
        <w:rPr>
          <w:rFonts w:eastAsia="Times New Roman"/>
        </w:rPr>
        <w:t xml:space="preserve"> </w:t>
      </w:r>
      <w:r w:rsidR="00E272E9">
        <w:rPr>
          <w:rFonts w:eastAsia="Times New Roman"/>
        </w:rPr>
        <w:t>W</w:t>
      </w:r>
      <w:r w:rsidR="00F96EF4">
        <w:rPr>
          <w:rFonts w:eastAsia="Times New Roman"/>
        </w:rPr>
        <w:t xml:space="preserve">hile this proportion is reassuring, the figures highlight that more than 50 </w:t>
      </w:r>
      <w:r w:rsidR="00823455">
        <w:rPr>
          <w:rFonts w:eastAsia="Times New Roman"/>
        </w:rPr>
        <w:t xml:space="preserve">people </w:t>
      </w:r>
      <w:r w:rsidR="00F96EF4">
        <w:rPr>
          <w:rFonts w:eastAsia="Times New Roman"/>
        </w:rPr>
        <w:t>(</w:t>
      </w:r>
      <w:r w:rsidR="00823455">
        <w:rPr>
          <w:rFonts w:eastAsia="Times New Roman"/>
        </w:rPr>
        <w:t>over a two-month period</w:t>
      </w:r>
      <w:r w:rsidR="00F96EF4">
        <w:rPr>
          <w:rFonts w:eastAsia="Times New Roman"/>
        </w:rPr>
        <w:t>)</w:t>
      </w:r>
      <w:r w:rsidR="00823455">
        <w:rPr>
          <w:rFonts w:eastAsia="Times New Roman"/>
        </w:rPr>
        <w:t xml:space="preserve"> </w:t>
      </w:r>
      <w:r w:rsidR="00F96EF4">
        <w:rPr>
          <w:rFonts w:eastAsia="Times New Roman"/>
        </w:rPr>
        <w:t xml:space="preserve">sustained injuries where they were likely to have </w:t>
      </w:r>
      <w:r w:rsidR="00823455">
        <w:rPr>
          <w:rFonts w:eastAsia="Times New Roman"/>
        </w:rPr>
        <w:t xml:space="preserve">required </w:t>
      </w:r>
      <w:r w:rsidR="008B2BB0">
        <w:rPr>
          <w:rFonts w:eastAsia="Times New Roman"/>
        </w:rPr>
        <w:t xml:space="preserve">ongoing </w:t>
      </w:r>
      <w:r w:rsidR="00823455">
        <w:rPr>
          <w:rFonts w:eastAsia="Times New Roman"/>
        </w:rPr>
        <w:t>access to healthcare services and time off work.</w:t>
      </w:r>
      <w:r w:rsidR="008B2BB0">
        <w:rPr>
          <w:rFonts w:eastAsia="Times New Roman"/>
        </w:rPr>
        <w:t xml:space="preserve"> </w:t>
      </w:r>
    </w:p>
    <w:p w14:paraId="26F8A0A7" w14:textId="77777777" w:rsidR="00823455" w:rsidRDefault="00823455" w:rsidP="00D421BE">
      <w:pPr>
        <w:pStyle w:val="BodyTextArial"/>
        <w:spacing w:line="360" w:lineRule="auto"/>
        <w:ind w:left="357"/>
        <w:rPr>
          <w:rFonts w:eastAsia="Times New Roman"/>
        </w:rPr>
      </w:pPr>
    </w:p>
    <w:p w14:paraId="2B37FF89" w14:textId="09F0D185" w:rsidR="007055BC" w:rsidRDefault="00727B31" w:rsidP="00947335">
      <w:pPr>
        <w:pStyle w:val="BodyTextArial"/>
        <w:spacing w:line="360" w:lineRule="auto"/>
        <w:ind w:left="357"/>
        <w:rPr>
          <w:rFonts w:eastAsia="Times New Roman"/>
        </w:rPr>
      </w:pPr>
      <w:r>
        <w:rPr>
          <w:rFonts w:eastAsia="Times New Roman"/>
        </w:rPr>
        <w:t xml:space="preserve">The </w:t>
      </w:r>
      <w:r w:rsidR="00D421BE">
        <w:rPr>
          <w:rFonts w:eastAsia="Times New Roman"/>
        </w:rPr>
        <w:t xml:space="preserve">liability of the </w:t>
      </w:r>
      <w:r>
        <w:rPr>
          <w:rFonts w:eastAsia="Times New Roman"/>
        </w:rPr>
        <w:t xml:space="preserve">above health and societal costs </w:t>
      </w:r>
      <w:r w:rsidR="00C77EA3">
        <w:rPr>
          <w:rFonts w:eastAsia="Times New Roman"/>
        </w:rPr>
        <w:t xml:space="preserve">also </w:t>
      </w:r>
      <w:r w:rsidR="00D421BE">
        <w:rPr>
          <w:rFonts w:eastAsia="Times New Roman"/>
        </w:rPr>
        <w:t>need</w:t>
      </w:r>
      <w:r w:rsidR="00C77EA3">
        <w:rPr>
          <w:rFonts w:eastAsia="Times New Roman"/>
        </w:rPr>
        <w:t>s to</w:t>
      </w:r>
      <w:r w:rsidR="00B84115">
        <w:rPr>
          <w:rFonts w:eastAsia="Times New Roman"/>
        </w:rPr>
        <w:t xml:space="preserve"> </w:t>
      </w:r>
      <w:r>
        <w:rPr>
          <w:rFonts w:eastAsia="Times New Roman"/>
        </w:rPr>
        <w:t xml:space="preserve">be considered </w:t>
      </w:r>
      <w:r w:rsidR="008B2BB0">
        <w:rPr>
          <w:rFonts w:eastAsia="Times New Roman"/>
        </w:rPr>
        <w:t xml:space="preserve">for </w:t>
      </w:r>
      <w:r>
        <w:rPr>
          <w:rFonts w:eastAsia="Times New Roman"/>
        </w:rPr>
        <w:t xml:space="preserve">PMD </w:t>
      </w:r>
      <w:r w:rsidR="008B2BB0">
        <w:rPr>
          <w:rFonts w:eastAsia="Times New Roman"/>
        </w:rPr>
        <w:t xml:space="preserve">accidents. Under the regulatory framework proposed by the NTC PMDs </w:t>
      </w:r>
      <w:r>
        <w:rPr>
          <w:rFonts w:eastAsia="Times New Roman"/>
        </w:rPr>
        <w:t>are</w:t>
      </w:r>
      <w:r w:rsidR="008B2BB0">
        <w:rPr>
          <w:rFonts w:eastAsia="Times New Roman"/>
        </w:rPr>
        <w:t xml:space="preserve"> no</w:t>
      </w:r>
      <w:r>
        <w:rPr>
          <w:rFonts w:eastAsia="Times New Roman"/>
        </w:rPr>
        <w:t>t</w:t>
      </w:r>
      <w:r w:rsidR="008B2BB0">
        <w:rPr>
          <w:rFonts w:eastAsia="Times New Roman"/>
        </w:rPr>
        <w:t xml:space="preserve"> registerable vehicles</w:t>
      </w:r>
      <w:r>
        <w:rPr>
          <w:rFonts w:eastAsia="Times New Roman"/>
        </w:rPr>
        <w:t xml:space="preserve">, this means that </w:t>
      </w:r>
      <w:r w:rsidR="00C506F0">
        <w:rPr>
          <w:rFonts w:eastAsia="Times New Roman"/>
        </w:rPr>
        <w:t>a</w:t>
      </w:r>
      <w:r w:rsidR="00D421BE">
        <w:rPr>
          <w:rFonts w:eastAsia="Times New Roman"/>
        </w:rPr>
        <w:t>ny</w:t>
      </w:r>
      <w:r w:rsidR="00C506F0">
        <w:rPr>
          <w:rFonts w:eastAsia="Times New Roman"/>
        </w:rPr>
        <w:t xml:space="preserve"> </w:t>
      </w:r>
      <w:r>
        <w:rPr>
          <w:rFonts w:eastAsia="Times New Roman"/>
        </w:rPr>
        <w:t>PMD user</w:t>
      </w:r>
      <w:r w:rsidR="00C506F0">
        <w:rPr>
          <w:rFonts w:eastAsia="Times New Roman"/>
        </w:rPr>
        <w:t>, who</w:t>
      </w:r>
      <w:r w:rsidR="00D421BE">
        <w:rPr>
          <w:rFonts w:eastAsia="Times New Roman"/>
        </w:rPr>
        <w:t xml:space="preserve"> is</w:t>
      </w:r>
      <w:r w:rsidR="00C506F0">
        <w:rPr>
          <w:rFonts w:eastAsia="Times New Roman"/>
        </w:rPr>
        <w:t xml:space="preserve"> responsible for an incident,</w:t>
      </w:r>
      <w:r>
        <w:rPr>
          <w:rFonts w:eastAsia="Times New Roman"/>
        </w:rPr>
        <w:t xml:space="preserve"> will be financially liable for </w:t>
      </w:r>
      <w:r w:rsidR="00C506F0">
        <w:rPr>
          <w:rFonts w:eastAsia="Times New Roman"/>
        </w:rPr>
        <w:t xml:space="preserve">any </w:t>
      </w:r>
      <w:r w:rsidR="008B2BB0">
        <w:rPr>
          <w:rFonts w:eastAsia="Times New Roman"/>
        </w:rPr>
        <w:t xml:space="preserve">injuries </w:t>
      </w:r>
      <w:r w:rsidR="00C506F0">
        <w:rPr>
          <w:rFonts w:eastAsia="Times New Roman"/>
        </w:rPr>
        <w:t>sustained (by themselves and/or others) and for any property damage.</w:t>
      </w:r>
      <w:r w:rsidR="00E9113D">
        <w:rPr>
          <w:rFonts w:eastAsia="Times New Roman"/>
        </w:rPr>
        <w:t xml:space="preserve"> These costs could potentially be significant</w:t>
      </w:r>
      <w:r w:rsidR="00B84115">
        <w:rPr>
          <w:rFonts w:eastAsia="Times New Roman"/>
        </w:rPr>
        <w:t xml:space="preserve">. </w:t>
      </w:r>
      <w:r w:rsidR="004F1FB6">
        <w:rPr>
          <w:rFonts w:eastAsia="Times New Roman"/>
        </w:rPr>
        <w:t xml:space="preserve">In each Australian state CTP schemes were developed in recognition of these health and societal costs and provide liability protection for people injured in motor vehicle </w:t>
      </w:r>
      <w:r w:rsidR="009B4541">
        <w:rPr>
          <w:rFonts w:eastAsia="Times New Roman"/>
        </w:rPr>
        <w:t>accidents</w:t>
      </w:r>
      <w:r w:rsidR="004F1FB6">
        <w:rPr>
          <w:rFonts w:eastAsia="Times New Roman"/>
        </w:rPr>
        <w:t>.</w:t>
      </w:r>
      <w:r w:rsidR="009B4541">
        <w:rPr>
          <w:rFonts w:eastAsia="Times New Roman"/>
        </w:rPr>
        <w:t xml:space="preserve"> PMDs would not currently be covered by these schemes.</w:t>
      </w:r>
      <w:r w:rsidR="004F1FB6">
        <w:rPr>
          <w:rFonts w:eastAsia="Times New Roman"/>
        </w:rPr>
        <w:t xml:space="preserve"> </w:t>
      </w:r>
      <w:r w:rsidR="00B84115">
        <w:rPr>
          <w:rFonts w:eastAsia="Times New Roman"/>
        </w:rPr>
        <w:t>This</w:t>
      </w:r>
      <w:r w:rsidR="006C321B">
        <w:rPr>
          <w:rFonts w:eastAsia="Times New Roman"/>
        </w:rPr>
        <w:t xml:space="preserve"> lack of coverage</w:t>
      </w:r>
      <w:r w:rsidR="009B4541">
        <w:rPr>
          <w:rFonts w:eastAsia="Times New Roman"/>
        </w:rPr>
        <w:t xml:space="preserve"> is </w:t>
      </w:r>
      <w:proofErr w:type="gramStart"/>
      <w:r w:rsidR="009B4541">
        <w:rPr>
          <w:rFonts w:eastAsia="Times New Roman"/>
        </w:rPr>
        <w:t>similar to</w:t>
      </w:r>
      <w:proofErr w:type="gramEnd"/>
      <w:r w:rsidR="009B4541">
        <w:rPr>
          <w:rFonts w:eastAsia="Times New Roman"/>
        </w:rPr>
        <w:t xml:space="preserve"> the situation that</w:t>
      </w:r>
      <w:r w:rsidR="00B84115">
        <w:rPr>
          <w:rFonts w:eastAsia="Times New Roman"/>
        </w:rPr>
        <w:t xml:space="preserve"> currently exists for bicycle riders and has </w:t>
      </w:r>
      <w:r w:rsidR="00D421BE">
        <w:rPr>
          <w:rFonts w:eastAsia="Times New Roman"/>
        </w:rPr>
        <w:t>been an issue</w:t>
      </w:r>
      <w:r w:rsidR="00C77EA3">
        <w:rPr>
          <w:rFonts w:eastAsia="Times New Roman"/>
        </w:rPr>
        <w:t xml:space="preserve"> that is regularly</w:t>
      </w:r>
      <w:r w:rsidR="00D421BE">
        <w:rPr>
          <w:rFonts w:eastAsia="Times New Roman"/>
        </w:rPr>
        <w:t xml:space="preserve"> discussed at state and national levels. To address this issue insurance </w:t>
      </w:r>
      <w:r w:rsidR="00B84115">
        <w:rPr>
          <w:rFonts w:eastAsia="Times New Roman"/>
        </w:rPr>
        <w:t xml:space="preserve">products </w:t>
      </w:r>
      <w:r w:rsidR="00D421BE">
        <w:rPr>
          <w:rFonts w:eastAsia="Times New Roman"/>
        </w:rPr>
        <w:t xml:space="preserve">have been developed for bicycle riders, </w:t>
      </w:r>
      <w:r w:rsidR="00B84115">
        <w:rPr>
          <w:rFonts w:eastAsia="Times New Roman"/>
        </w:rPr>
        <w:t>which offer liability insurance.</w:t>
      </w:r>
      <w:r w:rsidR="0066403F">
        <w:rPr>
          <w:rFonts w:eastAsia="Times New Roman"/>
        </w:rPr>
        <w:t xml:space="preserve"> </w:t>
      </w:r>
      <w:r w:rsidR="000607A8">
        <w:rPr>
          <w:rFonts w:eastAsia="Times New Roman"/>
        </w:rPr>
        <w:t>I</w:t>
      </w:r>
      <w:r w:rsidR="00D421BE">
        <w:rPr>
          <w:rFonts w:eastAsia="Times New Roman"/>
        </w:rPr>
        <w:t xml:space="preserve">AG </w:t>
      </w:r>
      <w:r w:rsidR="00D421BE">
        <w:rPr>
          <w:rFonts w:eastAsia="Times New Roman"/>
        </w:rPr>
        <w:lastRenderedPageBreak/>
        <w:t>believes that</w:t>
      </w:r>
      <w:r w:rsidR="000607A8">
        <w:rPr>
          <w:rFonts w:eastAsia="Times New Roman"/>
        </w:rPr>
        <w:t xml:space="preserve"> similar products </w:t>
      </w:r>
      <w:r w:rsidR="002124D2">
        <w:rPr>
          <w:rFonts w:eastAsia="Times New Roman"/>
        </w:rPr>
        <w:t xml:space="preserve">may </w:t>
      </w:r>
      <w:r w:rsidR="000607A8">
        <w:rPr>
          <w:rFonts w:eastAsia="Times New Roman"/>
        </w:rPr>
        <w:t xml:space="preserve">need to be developed </w:t>
      </w:r>
      <w:r w:rsidR="00D421BE">
        <w:rPr>
          <w:rFonts w:eastAsia="Times New Roman"/>
        </w:rPr>
        <w:t xml:space="preserve">and promoted </w:t>
      </w:r>
      <w:r w:rsidR="000607A8">
        <w:rPr>
          <w:rFonts w:eastAsia="Times New Roman"/>
        </w:rPr>
        <w:t>for PMD users</w:t>
      </w:r>
      <w:r w:rsidR="002124D2">
        <w:rPr>
          <w:rFonts w:eastAsia="Times New Roman"/>
        </w:rPr>
        <w:t>.  A strong education campaign on the risks and user rules also needs to be introduced to support these new forms of mobility.</w:t>
      </w:r>
    </w:p>
    <w:p w14:paraId="1E52EE95" w14:textId="77777777" w:rsidR="00C77EA3" w:rsidRDefault="00C77EA3" w:rsidP="00CD0682">
      <w:pPr>
        <w:pStyle w:val="BodyTextArial"/>
        <w:rPr>
          <w:rFonts w:eastAsia="Times New Roman"/>
        </w:rPr>
      </w:pPr>
    </w:p>
    <w:p w14:paraId="6E978C5D" w14:textId="77777777" w:rsidR="005A71A4" w:rsidRDefault="005A71A4" w:rsidP="005A71A4">
      <w:pPr>
        <w:pStyle w:val="BodyTextArial"/>
        <w:numPr>
          <w:ilvl w:val="0"/>
          <w:numId w:val="12"/>
        </w:numPr>
        <w:rPr>
          <w:b/>
        </w:rPr>
      </w:pPr>
      <w:r w:rsidRPr="005A71A4">
        <w:rPr>
          <w:b/>
        </w:rPr>
        <w:t>What do you believe is the most appropriate road infrastructure for PMDs to access: footpaths, separated paths, bicycle paths and/or roads? Please provide a rationale to support your position.</w:t>
      </w:r>
    </w:p>
    <w:p w14:paraId="46F0BB81" w14:textId="77777777" w:rsidR="000607A8" w:rsidRDefault="000607A8" w:rsidP="000607A8">
      <w:pPr>
        <w:pStyle w:val="BodyTextArial"/>
        <w:ind w:left="360"/>
        <w:rPr>
          <w:b/>
        </w:rPr>
      </w:pPr>
    </w:p>
    <w:p w14:paraId="1C56171C" w14:textId="77777777" w:rsidR="000607A8" w:rsidRPr="000607A8" w:rsidRDefault="000607A8" w:rsidP="00AC4220">
      <w:pPr>
        <w:pStyle w:val="BodyTextArial"/>
        <w:spacing w:line="360" w:lineRule="auto"/>
        <w:ind w:left="357"/>
      </w:pPr>
      <w:r w:rsidRPr="000607A8">
        <w:t xml:space="preserve">IAG </w:t>
      </w:r>
      <w:r w:rsidR="00D421BE">
        <w:t xml:space="preserve">agrees with the NTC that the </w:t>
      </w:r>
      <w:r w:rsidR="00AC4220">
        <w:t xml:space="preserve">PMDs need to be able to access both public infrastructure and local roads for their full potential as a transport option to be </w:t>
      </w:r>
      <w:proofErr w:type="spellStart"/>
      <w:r w:rsidR="00AC4220">
        <w:t>realised</w:t>
      </w:r>
      <w:proofErr w:type="spellEnd"/>
      <w:r w:rsidR="00AC4220">
        <w:t xml:space="preserve">. We concur that this level of access will pose some increased safety risks for pedestrians, PMD users and road users and recommend that the NTC look for all opportunities to decrease these risks. This includes exploring urban planning recommendations to </w:t>
      </w:r>
      <w:proofErr w:type="spellStart"/>
      <w:r w:rsidR="00AC4220">
        <w:t>prioritise</w:t>
      </w:r>
      <w:proofErr w:type="spellEnd"/>
      <w:r w:rsidR="00AC4220">
        <w:t xml:space="preserve"> the creation of safe “rights of way” for mixed pedestrian environments and to develop mechanisms for effective data collection capture of safety data for PMDs. This data will be essential in driving safety initiatives into the future.</w:t>
      </w:r>
    </w:p>
    <w:p w14:paraId="2DC15F72" w14:textId="77777777" w:rsidR="005A71A4" w:rsidRPr="005A71A4" w:rsidRDefault="005A71A4" w:rsidP="005A71A4">
      <w:pPr>
        <w:pStyle w:val="BodyTextArial"/>
        <w:rPr>
          <w:rFonts w:eastAsia="Times New Roman"/>
          <w:b/>
        </w:rPr>
      </w:pPr>
    </w:p>
    <w:p w14:paraId="6E775CD2" w14:textId="77777777" w:rsidR="005A71A4" w:rsidRPr="005A71A4" w:rsidRDefault="005A71A4" w:rsidP="005A71A4">
      <w:pPr>
        <w:pStyle w:val="BodyTextArial"/>
        <w:numPr>
          <w:ilvl w:val="0"/>
          <w:numId w:val="12"/>
        </w:numPr>
        <w:rPr>
          <w:rFonts w:eastAsia="Times New Roman"/>
          <w:b/>
        </w:rPr>
      </w:pPr>
      <w:r w:rsidRPr="005A71A4">
        <w:rPr>
          <w:rFonts w:eastAsia="Times New Roman"/>
          <w:b/>
        </w:rPr>
        <w:t>What is an appropriate and safe maximum speed that PMDs should be permitted to travel across the various infrastructure: (a) pedestrian areas, (b) bicycle areas, and (c) roads? Please provide a rationale to support your position</w:t>
      </w:r>
    </w:p>
    <w:p w14:paraId="7430DE45" w14:textId="77777777" w:rsidR="005A71A4" w:rsidRDefault="005A71A4" w:rsidP="005A71A4">
      <w:pPr>
        <w:pStyle w:val="BodyTextArial"/>
        <w:rPr>
          <w:rFonts w:eastAsia="Times New Roman"/>
        </w:rPr>
      </w:pPr>
    </w:p>
    <w:p w14:paraId="11CBF22F" w14:textId="77777777" w:rsidR="00947335" w:rsidRDefault="00740345" w:rsidP="00947335">
      <w:pPr>
        <w:pStyle w:val="BodyTextArial"/>
        <w:spacing w:line="360" w:lineRule="auto"/>
        <w:ind w:left="357"/>
        <w:rPr>
          <w:rFonts w:eastAsia="Times New Roman"/>
        </w:rPr>
      </w:pPr>
      <w:r>
        <w:rPr>
          <w:rFonts w:eastAsia="Times New Roman"/>
        </w:rPr>
        <w:t xml:space="preserve">IAG firmly believes that PMD devices should not travel at speeds of greater than 10km/h in pedestrian areas. We believe that travelling at speeds greater than this </w:t>
      </w:r>
      <w:r w:rsidRPr="00740345">
        <w:rPr>
          <w:rFonts w:eastAsia="Times New Roman"/>
        </w:rPr>
        <w:t xml:space="preserve">presents </w:t>
      </w:r>
      <w:r>
        <w:rPr>
          <w:rFonts w:eastAsia="Times New Roman"/>
        </w:rPr>
        <w:t xml:space="preserve">a </w:t>
      </w:r>
      <w:r w:rsidRPr="00740345">
        <w:rPr>
          <w:rFonts w:eastAsia="Times New Roman"/>
        </w:rPr>
        <w:t xml:space="preserve">safety risk </w:t>
      </w:r>
      <w:r>
        <w:rPr>
          <w:rFonts w:eastAsia="Times New Roman"/>
        </w:rPr>
        <w:t xml:space="preserve">that is unacceptable and is likely to significantly </w:t>
      </w:r>
      <w:r w:rsidRPr="00740345">
        <w:rPr>
          <w:rFonts w:eastAsia="Times New Roman"/>
        </w:rPr>
        <w:t xml:space="preserve">deter </w:t>
      </w:r>
      <w:r>
        <w:rPr>
          <w:rFonts w:eastAsia="Times New Roman"/>
        </w:rPr>
        <w:t>pedestrians</w:t>
      </w:r>
      <w:r w:rsidR="00947335">
        <w:rPr>
          <w:rFonts w:eastAsia="Times New Roman"/>
        </w:rPr>
        <w:t xml:space="preserve"> and</w:t>
      </w:r>
      <w:r w:rsidRPr="00740345">
        <w:rPr>
          <w:rFonts w:eastAsia="Times New Roman"/>
        </w:rPr>
        <w:t xml:space="preserve"> vulnerable users</w:t>
      </w:r>
      <w:r w:rsidR="00947335">
        <w:rPr>
          <w:rFonts w:eastAsia="Times New Roman"/>
        </w:rPr>
        <w:t xml:space="preserve"> from accessing what should be a shared space.</w:t>
      </w:r>
    </w:p>
    <w:p w14:paraId="5816A4F4" w14:textId="77777777" w:rsidR="00C77EA3" w:rsidRDefault="00C77EA3" w:rsidP="00C77EA3">
      <w:pPr>
        <w:pStyle w:val="BodyTextArial"/>
        <w:spacing w:line="360" w:lineRule="auto"/>
        <w:ind w:left="357"/>
        <w:rPr>
          <w:rFonts w:eastAsia="Times New Roman"/>
        </w:rPr>
      </w:pPr>
    </w:p>
    <w:p w14:paraId="77C30119" w14:textId="77777777" w:rsidR="00947335" w:rsidRDefault="00947335" w:rsidP="00C77EA3">
      <w:pPr>
        <w:pStyle w:val="BodyTextArial"/>
        <w:spacing w:line="360" w:lineRule="auto"/>
        <w:ind w:left="357"/>
        <w:rPr>
          <w:rFonts w:eastAsia="Times New Roman"/>
        </w:rPr>
      </w:pPr>
      <w:r>
        <w:rPr>
          <w:rFonts w:eastAsia="Times New Roman"/>
        </w:rPr>
        <w:t>IAG supports the NTC’s recommendation that PMD devices should be limited to being used on local roads only. O</w:t>
      </w:r>
      <w:r w:rsidR="008329A1">
        <w:rPr>
          <w:rFonts w:eastAsia="Times New Roman"/>
        </w:rPr>
        <w:t>n</w:t>
      </w:r>
      <w:r>
        <w:rPr>
          <w:rFonts w:eastAsia="Times New Roman"/>
        </w:rPr>
        <w:t xml:space="preserve"> these roads speed limits are restricted for motor vehicles and the risk of serious injury is reduced.</w:t>
      </w:r>
    </w:p>
    <w:p w14:paraId="0F0E21D5" w14:textId="77777777" w:rsidR="00947335" w:rsidRDefault="00947335" w:rsidP="005A71A4">
      <w:pPr>
        <w:pStyle w:val="BodyTextArial"/>
        <w:rPr>
          <w:rFonts w:eastAsia="Times New Roman"/>
        </w:rPr>
      </w:pPr>
      <w:r>
        <w:rPr>
          <w:rFonts w:eastAsia="Times New Roman"/>
        </w:rPr>
        <w:tab/>
      </w:r>
      <w:r>
        <w:rPr>
          <w:rFonts w:eastAsia="Times New Roman"/>
        </w:rPr>
        <w:tab/>
      </w:r>
    </w:p>
    <w:p w14:paraId="2C34A4B3" w14:textId="77777777" w:rsidR="005A71A4" w:rsidRPr="005A71A4" w:rsidRDefault="005A71A4" w:rsidP="005A71A4">
      <w:pPr>
        <w:pStyle w:val="BodyTextArial"/>
        <w:numPr>
          <w:ilvl w:val="0"/>
          <w:numId w:val="12"/>
        </w:numPr>
        <w:rPr>
          <w:rFonts w:eastAsia="Times New Roman"/>
          <w:b/>
        </w:rPr>
      </w:pPr>
      <w:r w:rsidRPr="005A71A4">
        <w:rPr>
          <w:rFonts w:eastAsia="Times New Roman"/>
          <w:b/>
        </w:rPr>
        <w:t>Do you agree with the overall assessment that Option 3, Speed Approach 1 is the option that best balances mobility and safety? If not, which option and speed approach do you prefer? Please provide a rationale to support your position.</w:t>
      </w:r>
    </w:p>
    <w:p w14:paraId="7A9F22F7" w14:textId="77777777" w:rsidR="005A71A4" w:rsidRDefault="005A71A4" w:rsidP="00947335">
      <w:pPr>
        <w:pStyle w:val="BodyTextArial"/>
        <w:rPr>
          <w:rFonts w:eastAsia="Times New Roman"/>
        </w:rPr>
      </w:pPr>
    </w:p>
    <w:p w14:paraId="460D69EC" w14:textId="77777777" w:rsidR="007125EF" w:rsidRPr="00EF2765" w:rsidRDefault="00947335" w:rsidP="00947335">
      <w:pPr>
        <w:pStyle w:val="BodyTextArial"/>
        <w:ind w:firstLine="360"/>
      </w:pPr>
      <w:r w:rsidRPr="00947335">
        <w:t>IAG is supportive of the NTCs preferred regulation option</w:t>
      </w:r>
      <w:r>
        <w:t xml:space="preserve"> of Option 3 with Speed Approach 1.</w:t>
      </w:r>
    </w:p>
    <w:p w14:paraId="6102CEE7" w14:textId="35788FF1" w:rsidR="00947335" w:rsidRPr="00947335" w:rsidRDefault="00BD1912" w:rsidP="00BD1912">
      <w:pPr>
        <w:pStyle w:val="BodyTextArial"/>
      </w:pPr>
      <w:r>
        <w:t xml:space="preserve">       </w:t>
      </w:r>
      <w:r w:rsidR="00947335" w:rsidRPr="00947335">
        <w:t xml:space="preserve">IAG welcomes the opportunity to discuss any issues raised in this submission further. </w:t>
      </w:r>
    </w:p>
    <w:p w14:paraId="43C8539A" w14:textId="77777777" w:rsidR="00947335" w:rsidRPr="00947335" w:rsidRDefault="00947335" w:rsidP="00947335">
      <w:pPr>
        <w:pStyle w:val="BodyTextArial"/>
        <w:ind w:left="360"/>
      </w:pPr>
    </w:p>
    <w:p w14:paraId="773C130F" w14:textId="77777777" w:rsidR="00947335" w:rsidRPr="00947335" w:rsidRDefault="00947335" w:rsidP="00947335">
      <w:pPr>
        <w:pStyle w:val="BodyTextArial"/>
        <w:ind w:left="360"/>
      </w:pPr>
      <w:r w:rsidRPr="00947335">
        <w:t>Sincerely,</w:t>
      </w:r>
    </w:p>
    <w:p w14:paraId="56B417AA" w14:textId="2DDCFA6E" w:rsidR="00947335" w:rsidRPr="00947335" w:rsidRDefault="00BD1912" w:rsidP="00947335">
      <w:pPr>
        <w:pStyle w:val="BodyTextArial"/>
        <w:ind w:left="360"/>
      </w:pPr>
      <w:r>
        <w:rPr>
          <w:noProof/>
        </w:rPr>
        <w:drawing>
          <wp:inline distT="0" distB="0" distL="0" distR="0" wp14:anchorId="204E92A0" wp14:editId="48AF56F4">
            <wp:extent cx="1120140" cy="3885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394" cy="426098"/>
                    </a:xfrm>
                    <a:prstGeom prst="rect">
                      <a:avLst/>
                    </a:prstGeom>
                    <a:noFill/>
                    <a:ln>
                      <a:noFill/>
                    </a:ln>
                  </pic:spPr>
                </pic:pic>
              </a:graphicData>
            </a:graphic>
          </wp:inline>
        </w:drawing>
      </w:r>
    </w:p>
    <w:p w14:paraId="5C6956BB" w14:textId="5236EE4F" w:rsidR="00947335" w:rsidRPr="00947335" w:rsidRDefault="00BD1912" w:rsidP="00BD1912">
      <w:pPr>
        <w:pStyle w:val="BodyTextArial"/>
        <w:ind w:firstLine="360"/>
      </w:pPr>
      <w:r>
        <w:t>Kate Hopman</w:t>
      </w:r>
    </w:p>
    <w:p w14:paraId="50313633" w14:textId="392E1C94" w:rsidR="00947335" w:rsidRPr="00947335" w:rsidRDefault="00BD1912" w:rsidP="00BD1912">
      <w:pPr>
        <w:pStyle w:val="BodyTextArial"/>
        <w:ind w:firstLine="360"/>
      </w:pPr>
      <w:r>
        <w:t>Principal Road Safety and Regulatory Policy</w:t>
      </w:r>
    </w:p>
    <w:p w14:paraId="784E022A" w14:textId="75959914" w:rsidR="00BD1912" w:rsidRPr="00BD1912" w:rsidRDefault="00BD1912" w:rsidP="00BD1912">
      <w:pPr>
        <w:pStyle w:val="BodyTextArial"/>
        <w:ind w:left="360"/>
        <w:rPr>
          <w:lang w:val="en-AU"/>
        </w:rPr>
      </w:pPr>
      <w:r>
        <w:rPr>
          <w:lang w:val="en-AU"/>
        </w:rPr>
        <w:t>IAG</w:t>
      </w:r>
      <w:r>
        <w:rPr>
          <w:lang w:val="en-AU"/>
        </w:rPr>
        <w:br/>
      </w:r>
      <w:r w:rsidRPr="00BD1912">
        <w:rPr>
          <w:lang w:val="en-AU"/>
        </w:rPr>
        <w:t>Phone. +61 2 9088 9836 Ext. 49836</w:t>
      </w:r>
    </w:p>
    <w:p w14:paraId="63B60336" w14:textId="77777777" w:rsidR="00BD1912" w:rsidRPr="00BD1912" w:rsidRDefault="00BD1912" w:rsidP="00BD1912">
      <w:pPr>
        <w:pStyle w:val="BodyTextArial"/>
        <w:ind w:left="360"/>
        <w:rPr>
          <w:lang w:val="en-AU"/>
        </w:rPr>
      </w:pPr>
      <w:r w:rsidRPr="00BD1912">
        <w:rPr>
          <w:lang w:val="en-AU"/>
        </w:rPr>
        <w:t>(Tuesday, Wednesday, Thursday)</w:t>
      </w:r>
      <w:r w:rsidRPr="00BD1912">
        <w:rPr>
          <w:lang w:val="en-AU"/>
        </w:rPr>
        <w:br/>
        <w:t xml:space="preserve">Email. </w:t>
      </w:r>
      <w:hyperlink r:id="rId12" w:history="1">
        <w:r w:rsidRPr="00BD1912">
          <w:rPr>
            <w:rStyle w:val="Hyperlink"/>
            <w:lang w:val="en-AU"/>
          </w:rPr>
          <w:t>katherine.hopman@iag.com.au</w:t>
        </w:r>
      </w:hyperlink>
    </w:p>
    <w:p w14:paraId="4BC5A292" w14:textId="77777777" w:rsidR="00CD0682" w:rsidRPr="00CD0682" w:rsidRDefault="00CD0682" w:rsidP="00CD0682"/>
    <w:sectPr w:rsidR="00CD0682" w:rsidRPr="00CD0682" w:rsidSect="007152E6">
      <w:footerReference w:type="default" r:id="rId13"/>
      <w:headerReference w:type="first" r:id="rId14"/>
      <w:footerReference w:type="first" r:id="rId15"/>
      <w:pgSz w:w="11906" w:h="16838" w:code="9"/>
      <w:pgMar w:top="1701" w:right="1134" w:bottom="851"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E639" w14:textId="77777777" w:rsidR="000E6160" w:rsidRDefault="000E6160" w:rsidP="002808CC">
      <w:r>
        <w:separator/>
      </w:r>
    </w:p>
    <w:p w14:paraId="35AFE384" w14:textId="77777777" w:rsidR="000E6160" w:rsidRDefault="000E6160"/>
  </w:endnote>
  <w:endnote w:type="continuationSeparator" w:id="0">
    <w:p w14:paraId="2990F878" w14:textId="77777777" w:rsidR="000E6160" w:rsidRDefault="000E6160" w:rsidP="002808CC">
      <w:r>
        <w:continuationSeparator/>
      </w:r>
    </w:p>
    <w:p w14:paraId="3998CAE4" w14:textId="77777777" w:rsidR="000E6160" w:rsidRDefault="000E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ourceSansPro-Light">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3C6E" w14:textId="77777777" w:rsidR="00F5294E" w:rsidRPr="00FE4FB1" w:rsidRDefault="00F5294E" w:rsidP="00BD3FA2">
    <w:pPr>
      <w:pStyle w:val="Footer"/>
      <w:ind w:left="0"/>
    </w:pPr>
    <w:r w:rsidRPr="00FE4FB1">
      <w:t xml:space="preserve">Page </w:t>
    </w:r>
    <w:r w:rsidRPr="00FE4FB1">
      <w:rPr>
        <w:bCs/>
      </w:rPr>
      <w:fldChar w:fldCharType="begin"/>
    </w:r>
    <w:r w:rsidRPr="00FE4FB1">
      <w:rPr>
        <w:bCs/>
      </w:rPr>
      <w:instrText xml:space="preserve"> PAGE  \* Arabic  \* MERGEFORMAT </w:instrText>
    </w:r>
    <w:r w:rsidRPr="00FE4FB1">
      <w:rPr>
        <w:bCs/>
      </w:rPr>
      <w:fldChar w:fldCharType="separate"/>
    </w:r>
    <w:r w:rsidRPr="00FE4FB1">
      <w:rPr>
        <w:bCs/>
        <w:noProof/>
      </w:rPr>
      <w:t>1</w:t>
    </w:r>
    <w:r w:rsidRPr="00FE4FB1">
      <w:rPr>
        <w:bCs/>
      </w:rPr>
      <w:fldChar w:fldCharType="end"/>
    </w:r>
    <w:r w:rsidRPr="00FE4FB1">
      <w:t xml:space="preserve"> of </w:t>
    </w:r>
    <w:r w:rsidRPr="00FE4FB1">
      <w:rPr>
        <w:bCs/>
      </w:rPr>
      <w:fldChar w:fldCharType="begin"/>
    </w:r>
    <w:r w:rsidRPr="00FE4FB1">
      <w:rPr>
        <w:bCs/>
      </w:rPr>
      <w:instrText xml:space="preserve"> NUMPAGES  \* Arabic  \* MERGEFORMAT </w:instrText>
    </w:r>
    <w:r w:rsidRPr="00FE4FB1">
      <w:rPr>
        <w:bCs/>
      </w:rPr>
      <w:fldChar w:fldCharType="separate"/>
    </w:r>
    <w:r w:rsidRPr="00FE4FB1">
      <w:rPr>
        <w:bCs/>
        <w:noProof/>
      </w:rPr>
      <w:t>2</w:t>
    </w:r>
    <w:r w:rsidRPr="00FE4FB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60E2" w14:textId="77777777" w:rsidR="00F5294E" w:rsidRPr="00EF2765" w:rsidRDefault="00F5294E" w:rsidP="00CD0682">
    <w:pPr>
      <w:pStyle w:val="Footer"/>
      <w:spacing w:before="240" w:line="245" w:lineRule="auto"/>
      <w:ind w:left="0" w:right="0"/>
    </w:pPr>
    <w:r w:rsidRPr="00EF2765">
      <w:t xml:space="preserve">Tower Two, Darling Park </w:t>
    </w:r>
  </w:p>
  <w:p w14:paraId="180682F7" w14:textId="77777777" w:rsidR="00F5294E" w:rsidRPr="00EA2411" w:rsidRDefault="00F5294E" w:rsidP="00CD0682">
    <w:pPr>
      <w:pStyle w:val="Footer"/>
      <w:ind w:left="0"/>
    </w:pPr>
    <w:r w:rsidRPr="00EA2411">
      <w:t>201 Sussex</w:t>
    </w:r>
    <w:r w:rsidRPr="00EA2411">
      <w:rPr>
        <w:spacing w:val="-13"/>
      </w:rPr>
      <w:t xml:space="preserve"> </w:t>
    </w:r>
    <w:r w:rsidRPr="00EA2411">
      <w:t>Street</w:t>
    </w:r>
  </w:p>
  <w:p w14:paraId="4CDAEE6F" w14:textId="77777777" w:rsidR="00F5294E" w:rsidRPr="00EA2411" w:rsidRDefault="00F5294E" w:rsidP="00CD0682">
    <w:pPr>
      <w:pStyle w:val="Footer"/>
      <w:ind w:left="0"/>
    </w:pPr>
    <w:r w:rsidRPr="00EA2411">
      <w:t>Sydney NSW 2000</w:t>
    </w:r>
  </w:p>
  <w:p w14:paraId="05F9F4B7" w14:textId="77777777" w:rsidR="00F5294E" w:rsidRPr="00EA2411" w:rsidRDefault="00F5294E" w:rsidP="00CD0682">
    <w:pPr>
      <w:pStyle w:val="Footer"/>
      <w:ind w:left="0"/>
    </w:pPr>
  </w:p>
  <w:p w14:paraId="612DC288" w14:textId="77777777" w:rsidR="00F5294E" w:rsidRDefault="00F5294E" w:rsidP="00CD0682">
    <w:pPr>
      <w:pStyle w:val="Footer"/>
      <w:ind w:left="0"/>
    </w:pPr>
    <w:r w:rsidRPr="00EA2411">
      <w:rPr>
        <w:b/>
      </w:rPr>
      <w:t>iag.com.au</w:t>
    </w:r>
    <w:r>
      <w:rPr>
        <w:b/>
      </w:rPr>
      <w:ptab w:relativeTo="margin" w:alignment="right" w:leader="none"/>
    </w:r>
    <w:r w:rsidRPr="0048378F">
      <w:t xml:space="preserve"> </w:t>
    </w:r>
    <w:r w:rsidRPr="00EA2411">
      <w:t>Insurance</w:t>
    </w:r>
    <w:r w:rsidRPr="00EA2411">
      <w:rPr>
        <w:spacing w:val="-12"/>
      </w:rPr>
      <w:t xml:space="preserve"> </w:t>
    </w:r>
    <w:r w:rsidRPr="00EA2411">
      <w:t>Australia</w:t>
    </w:r>
    <w:r w:rsidRPr="00EA2411">
      <w:rPr>
        <w:spacing w:val="-12"/>
      </w:rPr>
      <w:t xml:space="preserve"> </w:t>
    </w:r>
    <w:r w:rsidRPr="00EA2411">
      <w:t>Group</w:t>
    </w:r>
    <w:r w:rsidRPr="00EA2411">
      <w:rPr>
        <w:spacing w:val="-12"/>
      </w:rPr>
      <w:t xml:space="preserve"> </w:t>
    </w:r>
    <w:r w:rsidRPr="00EA2411">
      <w:t>Limited</w:t>
    </w:r>
    <w:r w:rsidRPr="00EA2411">
      <w:rPr>
        <w:spacing w:val="5"/>
      </w:rPr>
      <w:t xml:space="preserve"> </w:t>
    </w:r>
    <w:r w:rsidRPr="00EA2411">
      <w:t>ABN</w:t>
    </w:r>
    <w:r w:rsidRPr="00EA2411">
      <w:rPr>
        <w:spacing w:val="-11"/>
      </w:rPr>
      <w:t xml:space="preserve"> </w:t>
    </w:r>
    <w:r w:rsidRPr="00EA2411">
      <w:t>60</w:t>
    </w:r>
    <w:r w:rsidRPr="00EA2411">
      <w:rPr>
        <w:spacing w:val="-11"/>
      </w:rPr>
      <w:t xml:space="preserve"> </w:t>
    </w:r>
    <w:r w:rsidRPr="00EA2411">
      <w:t>090</w:t>
    </w:r>
    <w:r w:rsidRPr="00EA2411">
      <w:rPr>
        <w:spacing w:val="-11"/>
      </w:rPr>
      <w:t xml:space="preserve"> </w:t>
    </w:r>
    <w:r w:rsidRPr="00EA2411">
      <w:t>739</w:t>
    </w:r>
    <w:r w:rsidRPr="00EA2411">
      <w:rPr>
        <w:spacing w:val="-11"/>
      </w:rPr>
      <w:t xml:space="preserve"> </w:t>
    </w:r>
    <w:r w:rsidRPr="00EA2411">
      <w:t>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DED94" w14:textId="77777777" w:rsidR="000E6160" w:rsidRDefault="000E6160" w:rsidP="002808CC">
      <w:r>
        <w:separator/>
      </w:r>
    </w:p>
    <w:p w14:paraId="2830300B" w14:textId="77777777" w:rsidR="000E6160" w:rsidRDefault="000E6160"/>
  </w:footnote>
  <w:footnote w:type="continuationSeparator" w:id="0">
    <w:p w14:paraId="02FECB0E" w14:textId="77777777" w:rsidR="000E6160" w:rsidRDefault="000E6160" w:rsidP="002808CC">
      <w:r>
        <w:continuationSeparator/>
      </w:r>
    </w:p>
    <w:p w14:paraId="03C08067" w14:textId="77777777" w:rsidR="000E6160" w:rsidRDefault="000E6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FA37" w14:textId="77777777" w:rsidR="00F5294E" w:rsidRDefault="00F5294E" w:rsidP="00C6114E">
    <w:pPr>
      <w:spacing w:after="2280"/>
    </w:pPr>
    <w:r>
      <w:rPr>
        <w:noProof/>
      </w:rPr>
      <w:drawing>
        <wp:anchor distT="0" distB="0" distL="114300" distR="114300" simplePos="0" relativeHeight="251661312" behindDoc="1" locked="0" layoutInCell="1" allowOverlap="1" wp14:anchorId="3D6E8389" wp14:editId="53B8E0B5">
          <wp:simplePos x="0" y="0"/>
          <wp:positionH relativeFrom="page">
            <wp:posOffset>671195</wp:posOffset>
          </wp:positionH>
          <wp:positionV relativeFrom="page">
            <wp:posOffset>504190</wp:posOffset>
          </wp:positionV>
          <wp:extent cx="795655" cy="795655"/>
          <wp:effectExtent l="0" t="0" r="0" b="0"/>
          <wp:wrapSquare wrapText="bothSides"/>
          <wp:docPr id="6" name="Picture 6" descr="Clients A-Z:IAG:IAG11213 Implementation - Core Templates:03. Design:Stage 01:Word Templates:_Links:IAG_Master_LOGO_RGB_22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s A-Z:IAG:IAG11213 Implementation - Core Templates:03. Design:Stage 01:Word Templates:_Links:IAG_Master_LOGO_RGB_22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A4A95B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8F49136"/>
    <w:lvl w:ilvl="0">
      <w:start w:val="1"/>
      <w:numFmt w:val="bullet"/>
      <w:lvlText w:val="○"/>
      <w:lvlJc w:val="left"/>
      <w:pPr>
        <w:tabs>
          <w:tab w:val="num" w:pos="643"/>
        </w:tabs>
        <w:ind w:left="643" w:hanging="360"/>
      </w:pPr>
      <w:rPr>
        <w:rFonts w:ascii="Arial" w:hAnsi="Arial" w:hint="default"/>
        <w:color w:val="2AC5F4" w:themeColor="accent2"/>
      </w:rPr>
    </w:lvl>
  </w:abstractNum>
  <w:abstractNum w:abstractNumId="2" w15:restartNumberingAfterBreak="0">
    <w:nsid w:val="FFFFFF88"/>
    <w:multiLevelType w:val="singleLevel"/>
    <w:tmpl w:val="9B385B0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8202E7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7E10A5"/>
    <w:multiLevelType w:val="multilevel"/>
    <w:tmpl w:val="24448BDC"/>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EB2153"/>
    <w:multiLevelType w:val="hybridMultilevel"/>
    <w:tmpl w:val="DED41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0C6861"/>
    <w:multiLevelType w:val="hybridMultilevel"/>
    <w:tmpl w:val="415C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12935"/>
    <w:multiLevelType w:val="multilevel"/>
    <w:tmpl w:val="C6984640"/>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1072" w:hanging="358"/>
      </w:pPr>
      <w:rPr>
        <w:rFonts w:ascii="Arial" w:hAnsi="Arial" w:hint="default"/>
        <w:color w:val="auto"/>
      </w:rPr>
    </w:lvl>
    <w:lvl w:ilvl="3">
      <w:start w:val="1"/>
      <w:numFmt w:val="bullet"/>
      <w:lvlText w:val="-"/>
      <w:lvlJc w:val="left"/>
      <w:pPr>
        <w:ind w:left="1429" w:hanging="357"/>
      </w:pPr>
      <w:rPr>
        <w:rFonts w:ascii="Arial" w:hAnsi="Arial" w:hint="default"/>
        <w:color w:val="auto"/>
      </w:rPr>
    </w:lvl>
    <w:lvl w:ilvl="4">
      <w:start w:val="1"/>
      <w:numFmt w:val="bullet"/>
      <w:lvlText w:val="-"/>
      <w:lvlJc w:val="left"/>
      <w:pPr>
        <w:ind w:left="1786" w:hanging="357"/>
      </w:pPr>
      <w:rPr>
        <w:rFonts w:ascii="Arial" w:hAnsi="Arial" w:hint="default"/>
        <w:color w:val="auto"/>
      </w:rPr>
    </w:lvl>
    <w:lvl w:ilvl="5">
      <w:start w:val="1"/>
      <w:numFmt w:val="bullet"/>
      <w:lvlText w:val="-"/>
      <w:lvlJc w:val="left"/>
      <w:pPr>
        <w:ind w:left="2143" w:hanging="357"/>
      </w:pPr>
      <w:rPr>
        <w:rFonts w:ascii="Arial" w:hAnsi="Arial" w:hint="default"/>
        <w:color w:val="auto"/>
      </w:rPr>
    </w:lvl>
    <w:lvl w:ilvl="6">
      <w:start w:val="1"/>
      <w:numFmt w:val="bullet"/>
      <w:lvlText w:val="-"/>
      <w:lvlJc w:val="left"/>
      <w:pPr>
        <w:ind w:left="2500" w:hanging="357"/>
      </w:pPr>
      <w:rPr>
        <w:rFonts w:ascii="Arial" w:hAnsi="Arial" w:hint="default"/>
        <w:color w:val="auto"/>
      </w:rPr>
    </w:lvl>
    <w:lvl w:ilvl="7">
      <w:start w:val="1"/>
      <w:numFmt w:val="bullet"/>
      <w:lvlText w:val="-"/>
      <w:lvlJc w:val="left"/>
      <w:pPr>
        <w:ind w:left="2858" w:hanging="358"/>
      </w:pPr>
      <w:rPr>
        <w:rFonts w:ascii="Arial" w:hAnsi="Arial" w:hint="default"/>
        <w:color w:val="auto"/>
      </w:rPr>
    </w:lvl>
    <w:lvl w:ilvl="8">
      <w:start w:val="1"/>
      <w:numFmt w:val="bullet"/>
      <w:lvlText w:val="-"/>
      <w:lvlJc w:val="left"/>
      <w:pPr>
        <w:ind w:left="3215" w:hanging="357"/>
      </w:pPr>
      <w:rPr>
        <w:rFonts w:ascii="Arial" w:hAnsi="Arial" w:hint="default"/>
        <w:color w:val="auto"/>
      </w:rPr>
    </w:lvl>
  </w:abstractNum>
  <w:abstractNum w:abstractNumId="8" w15:restartNumberingAfterBreak="0">
    <w:nsid w:val="4AA56D8E"/>
    <w:multiLevelType w:val="multilevel"/>
    <w:tmpl w:val="24448BDC"/>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574320"/>
    <w:multiLevelType w:val="hybridMultilevel"/>
    <w:tmpl w:val="C60AEB80"/>
    <w:lvl w:ilvl="0" w:tplc="05889FE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EB74D2"/>
    <w:multiLevelType w:val="hybridMultilevel"/>
    <w:tmpl w:val="D536057C"/>
    <w:lvl w:ilvl="0" w:tplc="C8D2BD6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3773DC"/>
    <w:multiLevelType w:val="multilevel"/>
    <w:tmpl w:val="C6984640"/>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1072" w:hanging="358"/>
      </w:pPr>
      <w:rPr>
        <w:rFonts w:ascii="Arial" w:hAnsi="Arial" w:hint="default"/>
        <w:color w:val="auto"/>
      </w:rPr>
    </w:lvl>
    <w:lvl w:ilvl="3">
      <w:start w:val="1"/>
      <w:numFmt w:val="bullet"/>
      <w:lvlText w:val="-"/>
      <w:lvlJc w:val="left"/>
      <w:pPr>
        <w:ind w:left="1429" w:hanging="357"/>
      </w:pPr>
      <w:rPr>
        <w:rFonts w:ascii="Arial" w:hAnsi="Arial" w:hint="default"/>
        <w:color w:val="auto"/>
      </w:rPr>
    </w:lvl>
    <w:lvl w:ilvl="4">
      <w:start w:val="1"/>
      <w:numFmt w:val="bullet"/>
      <w:lvlText w:val="-"/>
      <w:lvlJc w:val="left"/>
      <w:pPr>
        <w:ind w:left="1786" w:hanging="357"/>
      </w:pPr>
      <w:rPr>
        <w:rFonts w:ascii="Arial" w:hAnsi="Arial" w:hint="default"/>
        <w:color w:val="auto"/>
      </w:rPr>
    </w:lvl>
    <w:lvl w:ilvl="5">
      <w:start w:val="1"/>
      <w:numFmt w:val="bullet"/>
      <w:lvlText w:val="-"/>
      <w:lvlJc w:val="left"/>
      <w:pPr>
        <w:ind w:left="2143" w:hanging="357"/>
      </w:pPr>
      <w:rPr>
        <w:rFonts w:ascii="Arial" w:hAnsi="Arial" w:hint="default"/>
        <w:color w:val="auto"/>
      </w:rPr>
    </w:lvl>
    <w:lvl w:ilvl="6">
      <w:start w:val="1"/>
      <w:numFmt w:val="bullet"/>
      <w:lvlText w:val="-"/>
      <w:lvlJc w:val="left"/>
      <w:pPr>
        <w:ind w:left="2500" w:hanging="357"/>
      </w:pPr>
      <w:rPr>
        <w:rFonts w:ascii="Arial" w:hAnsi="Arial" w:hint="default"/>
        <w:color w:val="auto"/>
      </w:rPr>
    </w:lvl>
    <w:lvl w:ilvl="7">
      <w:start w:val="1"/>
      <w:numFmt w:val="bullet"/>
      <w:lvlText w:val="-"/>
      <w:lvlJc w:val="left"/>
      <w:pPr>
        <w:ind w:left="2858" w:hanging="358"/>
      </w:pPr>
      <w:rPr>
        <w:rFonts w:ascii="Arial" w:hAnsi="Arial" w:hint="default"/>
        <w:color w:val="auto"/>
      </w:rPr>
    </w:lvl>
    <w:lvl w:ilvl="8">
      <w:start w:val="1"/>
      <w:numFmt w:val="bullet"/>
      <w:lvlText w:val="-"/>
      <w:lvlJc w:val="left"/>
      <w:pPr>
        <w:ind w:left="3215" w:hanging="357"/>
      </w:pPr>
      <w:rPr>
        <w:rFonts w:ascii="Arial" w:hAnsi="Arial" w:hint="default"/>
        <w:color w:val="auto"/>
      </w:rPr>
    </w:lvl>
  </w:abstractNum>
  <w:num w:numId="1">
    <w:abstractNumId w:val="3"/>
  </w:num>
  <w:num w:numId="2">
    <w:abstractNumId w:val="4"/>
  </w:num>
  <w:num w:numId="3">
    <w:abstractNumId w:val="1"/>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0"/>
  </w:num>
  <w:num w:numId="9">
    <w:abstractNumId w:val="10"/>
  </w:num>
  <w:num w:numId="10">
    <w:abstractNumId w:val="9"/>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9E"/>
    <w:rsid w:val="00025DD9"/>
    <w:rsid w:val="000367BA"/>
    <w:rsid w:val="0004669A"/>
    <w:rsid w:val="000517C5"/>
    <w:rsid w:val="000607A8"/>
    <w:rsid w:val="00060C97"/>
    <w:rsid w:val="00065C34"/>
    <w:rsid w:val="0007589C"/>
    <w:rsid w:val="00076F59"/>
    <w:rsid w:val="00083555"/>
    <w:rsid w:val="000A025F"/>
    <w:rsid w:val="000A5DC3"/>
    <w:rsid w:val="000C2E83"/>
    <w:rsid w:val="000D1DDB"/>
    <w:rsid w:val="000E0940"/>
    <w:rsid w:val="000E6160"/>
    <w:rsid w:val="000E6D7C"/>
    <w:rsid w:val="000F2C1B"/>
    <w:rsid w:val="000F50BB"/>
    <w:rsid w:val="000F5AB8"/>
    <w:rsid w:val="00121E8E"/>
    <w:rsid w:val="00124B5A"/>
    <w:rsid w:val="00127EE7"/>
    <w:rsid w:val="0013225C"/>
    <w:rsid w:val="00142051"/>
    <w:rsid w:val="00144B90"/>
    <w:rsid w:val="00150EA5"/>
    <w:rsid w:val="00151BF0"/>
    <w:rsid w:val="001569C7"/>
    <w:rsid w:val="001742F1"/>
    <w:rsid w:val="00175E76"/>
    <w:rsid w:val="001842FE"/>
    <w:rsid w:val="001A4CAC"/>
    <w:rsid w:val="001C1191"/>
    <w:rsid w:val="001C4D86"/>
    <w:rsid w:val="001C4EE0"/>
    <w:rsid w:val="001E0DE5"/>
    <w:rsid w:val="001E246E"/>
    <w:rsid w:val="001F5113"/>
    <w:rsid w:val="001F6704"/>
    <w:rsid w:val="0020105C"/>
    <w:rsid w:val="002115DE"/>
    <w:rsid w:val="002124D2"/>
    <w:rsid w:val="002223F5"/>
    <w:rsid w:val="002516A8"/>
    <w:rsid w:val="002701A6"/>
    <w:rsid w:val="002808CC"/>
    <w:rsid w:val="002C5803"/>
    <w:rsid w:val="002C6DA6"/>
    <w:rsid w:val="002D199E"/>
    <w:rsid w:val="002E21D8"/>
    <w:rsid w:val="002E6EE7"/>
    <w:rsid w:val="00305D7D"/>
    <w:rsid w:val="003376CE"/>
    <w:rsid w:val="00346CC9"/>
    <w:rsid w:val="0035194B"/>
    <w:rsid w:val="00384EE4"/>
    <w:rsid w:val="00392DDE"/>
    <w:rsid w:val="003B5ECC"/>
    <w:rsid w:val="003D5AFC"/>
    <w:rsid w:val="003E24BD"/>
    <w:rsid w:val="004233B3"/>
    <w:rsid w:val="00431A65"/>
    <w:rsid w:val="00453825"/>
    <w:rsid w:val="00462891"/>
    <w:rsid w:val="004631E1"/>
    <w:rsid w:val="00471D9D"/>
    <w:rsid w:val="00474884"/>
    <w:rsid w:val="00482605"/>
    <w:rsid w:val="0048378F"/>
    <w:rsid w:val="00495195"/>
    <w:rsid w:val="00496A82"/>
    <w:rsid w:val="004C1669"/>
    <w:rsid w:val="004D1F73"/>
    <w:rsid w:val="004E35DF"/>
    <w:rsid w:val="004E5687"/>
    <w:rsid w:val="004F094D"/>
    <w:rsid w:val="004F1FB6"/>
    <w:rsid w:val="004F68D4"/>
    <w:rsid w:val="00503833"/>
    <w:rsid w:val="00503EF3"/>
    <w:rsid w:val="00513A60"/>
    <w:rsid w:val="005237FD"/>
    <w:rsid w:val="005530D9"/>
    <w:rsid w:val="00570902"/>
    <w:rsid w:val="00580D91"/>
    <w:rsid w:val="005841DE"/>
    <w:rsid w:val="005946FB"/>
    <w:rsid w:val="005965E2"/>
    <w:rsid w:val="0059797B"/>
    <w:rsid w:val="005A71A4"/>
    <w:rsid w:val="005B0D18"/>
    <w:rsid w:val="005B1F02"/>
    <w:rsid w:val="005B3E96"/>
    <w:rsid w:val="005C1795"/>
    <w:rsid w:val="005C1902"/>
    <w:rsid w:val="005D0128"/>
    <w:rsid w:val="00600C75"/>
    <w:rsid w:val="00604584"/>
    <w:rsid w:val="006135FF"/>
    <w:rsid w:val="00630C9F"/>
    <w:rsid w:val="00631C4E"/>
    <w:rsid w:val="00643F86"/>
    <w:rsid w:val="00644B17"/>
    <w:rsid w:val="00644D49"/>
    <w:rsid w:val="00652110"/>
    <w:rsid w:val="00653F5C"/>
    <w:rsid w:val="0066403F"/>
    <w:rsid w:val="00664209"/>
    <w:rsid w:val="006723F2"/>
    <w:rsid w:val="00677551"/>
    <w:rsid w:val="00690980"/>
    <w:rsid w:val="00696957"/>
    <w:rsid w:val="006B5D22"/>
    <w:rsid w:val="006C03C8"/>
    <w:rsid w:val="006C227F"/>
    <w:rsid w:val="006C321B"/>
    <w:rsid w:val="006D1E68"/>
    <w:rsid w:val="006E02BD"/>
    <w:rsid w:val="006F1E00"/>
    <w:rsid w:val="006F3AAD"/>
    <w:rsid w:val="007055BC"/>
    <w:rsid w:val="007125EF"/>
    <w:rsid w:val="007152E6"/>
    <w:rsid w:val="00727B31"/>
    <w:rsid w:val="0073074E"/>
    <w:rsid w:val="00740345"/>
    <w:rsid w:val="0074655E"/>
    <w:rsid w:val="00747561"/>
    <w:rsid w:val="00776E3F"/>
    <w:rsid w:val="007811C2"/>
    <w:rsid w:val="00797CBB"/>
    <w:rsid w:val="007A0BB2"/>
    <w:rsid w:val="007A6DC3"/>
    <w:rsid w:val="007A77E4"/>
    <w:rsid w:val="007B230D"/>
    <w:rsid w:val="007B6016"/>
    <w:rsid w:val="007B6CD3"/>
    <w:rsid w:val="007D6B7F"/>
    <w:rsid w:val="007E03EA"/>
    <w:rsid w:val="007F1B41"/>
    <w:rsid w:val="007F5FE4"/>
    <w:rsid w:val="0080122C"/>
    <w:rsid w:val="008125C9"/>
    <w:rsid w:val="008143B6"/>
    <w:rsid w:val="0082156A"/>
    <w:rsid w:val="00823455"/>
    <w:rsid w:val="00823725"/>
    <w:rsid w:val="008262E1"/>
    <w:rsid w:val="008329A1"/>
    <w:rsid w:val="008558E6"/>
    <w:rsid w:val="00874B91"/>
    <w:rsid w:val="008756C4"/>
    <w:rsid w:val="008B04E6"/>
    <w:rsid w:val="008B2BB0"/>
    <w:rsid w:val="008B6A20"/>
    <w:rsid w:val="008C722D"/>
    <w:rsid w:val="008C77BB"/>
    <w:rsid w:val="008D1EEC"/>
    <w:rsid w:val="008E3ECF"/>
    <w:rsid w:val="008F21EB"/>
    <w:rsid w:val="00906C27"/>
    <w:rsid w:val="009216E3"/>
    <w:rsid w:val="00927E3E"/>
    <w:rsid w:val="00936DEE"/>
    <w:rsid w:val="00947335"/>
    <w:rsid w:val="0095390A"/>
    <w:rsid w:val="00975E12"/>
    <w:rsid w:val="0098272F"/>
    <w:rsid w:val="00987D4F"/>
    <w:rsid w:val="00987E40"/>
    <w:rsid w:val="009911CA"/>
    <w:rsid w:val="0099763F"/>
    <w:rsid w:val="009B0D9E"/>
    <w:rsid w:val="009B4541"/>
    <w:rsid w:val="009C0128"/>
    <w:rsid w:val="009C758D"/>
    <w:rsid w:val="009D00E7"/>
    <w:rsid w:val="009D5CDA"/>
    <w:rsid w:val="009D5F74"/>
    <w:rsid w:val="009D7B1F"/>
    <w:rsid w:val="009E30D5"/>
    <w:rsid w:val="00A0698B"/>
    <w:rsid w:val="00A128E6"/>
    <w:rsid w:val="00A31AF2"/>
    <w:rsid w:val="00A34E70"/>
    <w:rsid w:val="00A3516A"/>
    <w:rsid w:val="00A36A99"/>
    <w:rsid w:val="00A43514"/>
    <w:rsid w:val="00A67357"/>
    <w:rsid w:val="00A7005D"/>
    <w:rsid w:val="00A92425"/>
    <w:rsid w:val="00AB6565"/>
    <w:rsid w:val="00AC4220"/>
    <w:rsid w:val="00AD07C0"/>
    <w:rsid w:val="00AD0FA8"/>
    <w:rsid w:val="00AE6211"/>
    <w:rsid w:val="00B04CCA"/>
    <w:rsid w:val="00B35D2A"/>
    <w:rsid w:val="00B53B43"/>
    <w:rsid w:val="00B7032B"/>
    <w:rsid w:val="00B71930"/>
    <w:rsid w:val="00B84115"/>
    <w:rsid w:val="00B872FD"/>
    <w:rsid w:val="00B976A2"/>
    <w:rsid w:val="00BB2B13"/>
    <w:rsid w:val="00BB71D7"/>
    <w:rsid w:val="00BD0277"/>
    <w:rsid w:val="00BD06DE"/>
    <w:rsid w:val="00BD1912"/>
    <w:rsid w:val="00BD3604"/>
    <w:rsid w:val="00BD3FA2"/>
    <w:rsid w:val="00BD5245"/>
    <w:rsid w:val="00BD5C13"/>
    <w:rsid w:val="00BD7329"/>
    <w:rsid w:val="00BE16B0"/>
    <w:rsid w:val="00BF37C3"/>
    <w:rsid w:val="00BF67D2"/>
    <w:rsid w:val="00BF7888"/>
    <w:rsid w:val="00C14AB6"/>
    <w:rsid w:val="00C43B6F"/>
    <w:rsid w:val="00C506F0"/>
    <w:rsid w:val="00C60C03"/>
    <w:rsid w:val="00C6114E"/>
    <w:rsid w:val="00C74A1A"/>
    <w:rsid w:val="00C75BFB"/>
    <w:rsid w:val="00C77EA3"/>
    <w:rsid w:val="00CB360B"/>
    <w:rsid w:val="00CC07B3"/>
    <w:rsid w:val="00CC1D7B"/>
    <w:rsid w:val="00CC6130"/>
    <w:rsid w:val="00CD0682"/>
    <w:rsid w:val="00CD4163"/>
    <w:rsid w:val="00CF2D60"/>
    <w:rsid w:val="00CF3987"/>
    <w:rsid w:val="00D023A4"/>
    <w:rsid w:val="00D17F2A"/>
    <w:rsid w:val="00D421BE"/>
    <w:rsid w:val="00D51A12"/>
    <w:rsid w:val="00D51AD6"/>
    <w:rsid w:val="00D62509"/>
    <w:rsid w:val="00D664B2"/>
    <w:rsid w:val="00D73FFB"/>
    <w:rsid w:val="00D815A2"/>
    <w:rsid w:val="00D9630E"/>
    <w:rsid w:val="00DB03FB"/>
    <w:rsid w:val="00DB74E7"/>
    <w:rsid w:val="00DC09EB"/>
    <w:rsid w:val="00DC4B2A"/>
    <w:rsid w:val="00DC4F54"/>
    <w:rsid w:val="00DC758E"/>
    <w:rsid w:val="00DD350F"/>
    <w:rsid w:val="00E0091C"/>
    <w:rsid w:val="00E02370"/>
    <w:rsid w:val="00E07980"/>
    <w:rsid w:val="00E139E9"/>
    <w:rsid w:val="00E17A21"/>
    <w:rsid w:val="00E200ED"/>
    <w:rsid w:val="00E25F2A"/>
    <w:rsid w:val="00E272E9"/>
    <w:rsid w:val="00E619A6"/>
    <w:rsid w:val="00E633A2"/>
    <w:rsid w:val="00E70B09"/>
    <w:rsid w:val="00E747D3"/>
    <w:rsid w:val="00E9113D"/>
    <w:rsid w:val="00EA2411"/>
    <w:rsid w:val="00EA25BC"/>
    <w:rsid w:val="00EA430B"/>
    <w:rsid w:val="00EB5E6C"/>
    <w:rsid w:val="00EC14B2"/>
    <w:rsid w:val="00ED7ACE"/>
    <w:rsid w:val="00EE1B66"/>
    <w:rsid w:val="00EF2765"/>
    <w:rsid w:val="00EF48E6"/>
    <w:rsid w:val="00EF54CA"/>
    <w:rsid w:val="00F01248"/>
    <w:rsid w:val="00F17DF7"/>
    <w:rsid w:val="00F442E6"/>
    <w:rsid w:val="00F47CCE"/>
    <w:rsid w:val="00F5294E"/>
    <w:rsid w:val="00F66A11"/>
    <w:rsid w:val="00F80F8D"/>
    <w:rsid w:val="00F96EF4"/>
    <w:rsid w:val="00F97BBB"/>
    <w:rsid w:val="00FA0D3C"/>
    <w:rsid w:val="00FB3334"/>
    <w:rsid w:val="00FC7660"/>
    <w:rsid w:val="00FD0FD4"/>
    <w:rsid w:val="00FE4FB1"/>
    <w:rsid w:val="00FF7C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40F83D"/>
  <w15:docId w15:val="{12B47AD4-67CB-4D89-916C-41ECCFB2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16" w:unhideWhenUsed="1"/>
    <w:lsdException w:name="toc 4" w:semiHidden="1" w:uiPriority="16" w:unhideWhenUsed="1"/>
    <w:lsdException w:name="toc 5" w:semiHidden="1" w:uiPriority="16" w:unhideWhenUsed="1"/>
    <w:lsdException w:name="toc 6" w:semiHidden="1" w:uiPriority="16" w:unhideWhenUsed="1"/>
    <w:lsdException w:name="toc 7" w:semiHidden="1" w:uiPriority="16" w:unhideWhenUsed="1"/>
    <w:lsdException w:name="toc 8" w:semiHidden="1" w:uiPriority="16" w:unhideWhenUsed="1"/>
    <w:lsdException w:name="toc 9" w:semiHidden="1" w:uiPriority="16"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iPriority="8" w:unhideWhenUsed="1"/>
    <w:lsdException w:name="List Bullet 4" w:semiHidden="1" w:uiPriority="8" w:unhideWhenUsed="1"/>
    <w:lsdException w:name="List Bullet 5" w:semiHidden="1" w:uiPriority="8"/>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EF2765"/>
    <w:pPr>
      <w:widowControl w:val="0"/>
      <w:autoSpaceDE w:val="0"/>
      <w:autoSpaceDN w:val="0"/>
      <w:spacing w:after="0" w:line="288" w:lineRule="auto"/>
    </w:pPr>
    <w:rPr>
      <w:rFonts w:ascii="Arial" w:hAnsi="Arial" w:cs="Arial"/>
      <w:color w:val="000000"/>
      <w:sz w:val="20"/>
      <w:szCs w:val="20"/>
      <w:lang w:val="en-US"/>
    </w:rPr>
  </w:style>
  <w:style w:type="paragraph" w:styleId="Heading1">
    <w:name w:val="heading 1"/>
    <w:basedOn w:val="Normal"/>
    <w:next w:val="Normal"/>
    <w:link w:val="Heading1Char"/>
    <w:uiPriority w:val="9"/>
    <w:semiHidden/>
    <w:qFormat/>
    <w:rsid w:val="00127EE7"/>
    <w:pPr>
      <w:keepNext/>
      <w:keepLines/>
      <w:widowControl/>
      <w:autoSpaceDE/>
      <w:autoSpaceDN/>
      <w:spacing w:after="60" w:line="240" w:lineRule="atLeast"/>
      <w:contextualSpacing/>
      <w:outlineLvl w:val="0"/>
    </w:pPr>
    <w:rPr>
      <w:rFonts w:asciiTheme="majorHAnsi" w:eastAsiaTheme="majorEastAsia" w:hAnsiTheme="majorHAnsi" w:cstheme="majorBidi"/>
      <w:b/>
      <w:bCs/>
      <w:color w:val="592C82" w:themeColor="accent1"/>
      <w:sz w:val="32"/>
      <w:szCs w:val="28"/>
      <w:lang w:val="en-AU"/>
    </w:rPr>
  </w:style>
  <w:style w:type="paragraph" w:styleId="Heading2">
    <w:name w:val="heading 2"/>
    <w:basedOn w:val="Normal"/>
    <w:next w:val="Normal"/>
    <w:link w:val="Heading2Char"/>
    <w:uiPriority w:val="9"/>
    <w:semiHidden/>
    <w:qFormat/>
    <w:rsid w:val="0020105C"/>
    <w:pPr>
      <w:keepNext/>
      <w:keepLines/>
      <w:widowControl/>
      <w:autoSpaceDE/>
      <w:autoSpaceDN/>
      <w:spacing w:line="240" w:lineRule="atLeast"/>
      <w:contextualSpacing/>
      <w:outlineLvl w:val="1"/>
    </w:pPr>
    <w:rPr>
      <w:rFonts w:asciiTheme="majorHAnsi" w:eastAsiaTheme="majorEastAsia" w:hAnsiTheme="majorHAnsi" w:cstheme="majorBidi"/>
      <w:b/>
      <w:bCs/>
      <w:color w:val="2AC5F4" w:themeColor="accent2"/>
      <w:sz w:val="24"/>
      <w:szCs w:val="26"/>
      <w:lang w:val="en-AU"/>
    </w:rPr>
  </w:style>
  <w:style w:type="paragraph" w:styleId="Heading3">
    <w:name w:val="heading 3"/>
    <w:basedOn w:val="Normal"/>
    <w:next w:val="Normal"/>
    <w:link w:val="Heading3Char"/>
    <w:uiPriority w:val="9"/>
    <w:semiHidden/>
    <w:qFormat/>
    <w:rsid w:val="0020105C"/>
    <w:pPr>
      <w:keepNext/>
      <w:keepLines/>
      <w:widowControl/>
      <w:autoSpaceDE/>
      <w:autoSpaceDN/>
      <w:spacing w:line="240" w:lineRule="atLeast"/>
      <w:contextualSpacing/>
      <w:outlineLvl w:val="2"/>
    </w:pPr>
    <w:rPr>
      <w:rFonts w:asciiTheme="majorHAnsi" w:eastAsiaTheme="majorEastAsia" w:hAnsiTheme="majorHAnsi" w:cstheme="majorBidi"/>
      <w:b/>
      <w:bCs/>
      <w:color w:val="592C82" w:themeColor="accent1"/>
      <w:sz w:val="24"/>
      <w:szCs w:val="22"/>
      <w:lang w:val="en-AU"/>
    </w:rPr>
  </w:style>
  <w:style w:type="paragraph" w:styleId="Heading4">
    <w:name w:val="heading 4"/>
    <w:basedOn w:val="Normal"/>
    <w:next w:val="Normal"/>
    <w:link w:val="Heading4Char"/>
    <w:uiPriority w:val="9"/>
    <w:semiHidden/>
    <w:qFormat/>
    <w:rsid w:val="0059797B"/>
    <w:pPr>
      <w:keepNext/>
      <w:keepLines/>
      <w:widowControl/>
      <w:autoSpaceDE/>
      <w:autoSpaceDN/>
      <w:spacing w:before="240" w:after="120" w:line="240" w:lineRule="atLeast"/>
      <w:contextualSpacing/>
      <w:outlineLvl w:val="3"/>
    </w:pPr>
    <w:rPr>
      <w:rFonts w:asciiTheme="majorHAnsi" w:eastAsiaTheme="majorEastAsia" w:hAnsiTheme="majorHAnsi" w:cstheme="majorBidi"/>
      <w:b/>
      <w:iCs/>
      <w:color w:val="auto"/>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376CE"/>
    <w:rPr>
      <w:rFonts w:asciiTheme="majorHAnsi" w:eastAsiaTheme="majorEastAsia" w:hAnsiTheme="majorHAnsi" w:cstheme="majorBidi"/>
      <w:b/>
      <w:bCs/>
      <w:color w:val="592C82" w:themeColor="accent1"/>
      <w:sz w:val="32"/>
      <w:szCs w:val="28"/>
    </w:rPr>
  </w:style>
  <w:style w:type="character" w:customStyle="1" w:styleId="Heading2Char">
    <w:name w:val="Heading 2 Char"/>
    <w:basedOn w:val="DefaultParagraphFont"/>
    <w:link w:val="Heading2"/>
    <w:uiPriority w:val="9"/>
    <w:semiHidden/>
    <w:rsid w:val="003376CE"/>
    <w:rPr>
      <w:rFonts w:asciiTheme="majorHAnsi" w:eastAsiaTheme="majorEastAsia" w:hAnsiTheme="majorHAnsi" w:cstheme="majorBidi"/>
      <w:b/>
      <w:bCs/>
      <w:color w:val="2AC5F4" w:themeColor="accent2"/>
      <w:sz w:val="24"/>
      <w:szCs w:val="26"/>
    </w:rPr>
  </w:style>
  <w:style w:type="paragraph" w:styleId="BalloonText">
    <w:name w:val="Balloon Text"/>
    <w:basedOn w:val="Normal"/>
    <w:link w:val="BalloonTextChar"/>
    <w:uiPriority w:val="99"/>
    <w:semiHidden/>
    <w:unhideWhenUsed/>
    <w:rsid w:val="00B976A2"/>
    <w:pPr>
      <w:widowControl/>
      <w:autoSpaceDE/>
      <w:autoSpaceDN/>
      <w:spacing w:line="240" w:lineRule="atLeast"/>
    </w:pPr>
    <w:rPr>
      <w:rFonts w:ascii="Tahoma" w:hAnsi="Tahoma" w:cs="Tahoma"/>
      <w:color w:val="auto"/>
      <w:sz w:val="16"/>
      <w:szCs w:val="16"/>
      <w:lang w:val="en-AU"/>
    </w:rPr>
  </w:style>
  <w:style w:type="character" w:customStyle="1" w:styleId="BalloonTextChar">
    <w:name w:val="Balloon Text Char"/>
    <w:basedOn w:val="DefaultParagraphFont"/>
    <w:link w:val="BalloonText"/>
    <w:uiPriority w:val="99"/>
    <w:semiHidden/>
    <w:rsid w:val="00B976A2"/>
    <w:rPr>
      <w:rFonts w:ascii="Tahoma" w:hAnsi="Tahoma" w:cs="Tahoma"/>
      <w:sz w:val="16"/>
      <w:szCs w:val="16"/>
    </w:rPr>
  </w:style>
  <w:style w:type="character" w:customStyle="1" w:styleId="Heading3Char">
    <w:name w:val="Heading 3 Char"/>
    <w:basedOn w:val="DefaultParagraphFont"/>
    <w:link w:val="Heading3"/>
    <w:uiPriority w:val="9"/>
    <w:semiHidden/>
    <w:rsid w:val="003376CE"/>
    <w:rPr>
      <w:rFonts w:asciiTheme="majorHAnsi" w:eastAsiaTheme="majorEastAsia" w:hAnsiTheme="majorHAnsi" w:cstheme="majorBidi"/>
      <w:b/>
      <w:bCs/>
      <w:color w:val="592C82" w:themeColor="accent1"/>
      <w:sz w:val="24"/>
    </w:rPr>
  </w:style>
  <w:style w:type="character" w:customStyle="1" w:styleId="Heading4Char">
    <w:name w:val="Heading 4 Char"/>
    <w:basedOn w:val="DefaultParagraphFont"/>
    <w:link w:val="Heading4"/>
    <w:uiPriority w:val="9"/>
    <w:semiHidden/>
    <w:rsid w:val="003376CE"/>
    <w:rPr>
      <w:rFonts w:asciiTheme="majorHAnsi" w:eastAsiaTheme="majorEastAsia" w:hAnsiTheme="majorHAnsi" w:cstheme="majorBidi"/>
      <w:b/>
      <w:iCs/>
      <w:sz w:val="20"/>
    </w:rPr>
  </w:style>
  <w:style w:type="paragraph" w:customStyle="1" w:styleId="BodyTextArial">
    <w:name w:val="Body Text Arial"/>
    <w:uiPriority w:val="99"/>
    <w:qFormat/>
    <w:rsid w:val="005B1F02"/>
    <w:pPr>
      <w:adjustRightInd w:val="0"/>
      <w:spacing w:after="0" w:line="288" w:lineRule="auto"/>
      <w:textAlignment w:val="center"/>
    </w:pPr>
    <w:rPr>
      <w:rFonts w:cs="MinionPro-Regular"/>
      <w:sz w:val="20"/>
      <w:szCs w:val="24"/>
      <w:lang w:val="en-US"/>
    </w:rPr>
  </w:style>
  <w:style w:type="paragraph" w:styleId="Header">
    <w:name w:val="header"/>
    <w:basedOn w:val="Normal"/>
    <w:link w:val="HeaderChar"/>
    <w:uiPriority w:val="99"/>
    <w:unhideWhenUsed/>
    <w:rsid w:val="00083555"/>
    <w:pPr>
      <w:tabs>
        <w:tab w:val="center" w:pos="4320"/>
        <w:tab w:val="right" w:pos="8640"/>
      </w:tabs>
    </w:pPr>
  </w:style>
  <w:style w:type="character" w:customStyle="1" w:styleId="HeaderChar">
    <w:name w:val="Header Char"/>
    <w:basedOn w:val="DefaultParagraphFont"/>
    <w:link w:val="Header"/>
    <w:uiPriority w:val="99"/>
    <w:rsid w:val="00083555"/>
    <w:rPr>
      <w:rFonts w:ascii="Arial" w:hAnsi="Arial" w:cs="Arial"/>
      <w:color w:val="000000"/>
      <w:sz w:val="20"/>
      <w:szCs w:val="20"/>
      <w:lang w:val="en-US"/>
    </w:rPr>
  </w:style>
  <w:style w:type="paragraph" w:styleId="Footer">
    <w:name w:val="footer"/>
    <w:basedOn w:val="Normal"/>
    <w:link w:val="FooterChar"/>
    <w:uiPriority w:val="99"/>
    <w:unhideWhenUsed/>
    <w:rsid w:val="00EF2765"/>
    <w:pPr>
      <w:spacing w:before="20" w:line="244" w:lineRule="auto"/>
      <w:ind w:left="-1560" w:right="2"/>
    </w:pPr>
    <w:rPr>
      <w:rFonts w:asciiTheme="minorHAnsi" w:eastAsia="SourceSansPro-Light" w:hAnsiTheme="minorHAnsi" w:cs="SourceSansPro-Light"/>
      <w:color w:val="592C82" w:themeColor="accent1"/>
      <w:sz w:val="14"/>
      <w:szCs w:val="14"/>
      <w:lang w:bidi="en-US"/>
    </w:rPr>
  </w:style>
  <w:style w:type="character" w:customStyle="1" w:styleId="FooterChar">
    <w:name w:val="Footer Char"/>
    <w:basedOn w:val="DefaultParagraphFont"/>
    <w:link w:val="Footer"/>
    <w:uiPriority w:val="99"/>
    <w:rsid w:val="00EF2765"/>
    <w:rPr>
      <w:rFonts w:eastAsia="SourceSansPro-Light" w:cs="SourceSansPro-Light"/>
      <w:color w:val="592C82" w:themeColor="accent1"/>
      <w:sz w:val="14"/>
      <w:szCs w:val="14"/>
      <w:lang w:val="en-US" w:bidi="en-US"/>
    </w:rPr>
  </w:style>
  <w:style w:type="character" w:styleId="CommentReference">
    <w:name w:val="annotation reference"/>
    <w:basedOn w:val="DefaultParagraphFont"/>
    <w:uiPriority w:val="99"/>
    <w:semiHidden/>
    <w:unhideWhenUsed/>
    <w:rsid w:val="000F2C1B"/>
    <w:rPr>
      <w:sz w:val="16"/>
      <w:szCs w:val="16"/>
    </w:rPr>
  </w:style>
  <w:style w:type="paragraph" w:styleId="CommentText">
    <w:name w:val="annotation text"/>
    <w:basedOn w:val="Normal"/>
    <w:link w:val="CommentTextChar"/>
    <w:uiPriority w:val="99"/>
    <w:semiHidden/>
    <w:unhideWhenUsed/>
    <w:rsid w:val="000F2C1B"/>
    <w:pPr>
      <w:spacing w:line="240" w:lineRule="auto"/>
    </w:pPr>
  </w:style>
  <w:style w:type="character" w:customStyle="1" w:styleId="CommentTextChar">
    <w:name w:val="Comment Text Char"/>
    <w:basedOn w:val="DefaultParagraphFont"/>
    <w:link w:val="CommentText"/>
    <w:uiPriority w:val="99"/>
    <w:semiHidden/>
    <w:rsid w:val="000F2C1B"/>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0F2C1B"/>
    <w:rPr>
      <w:b/>
      <w:bCs/>
    </w:rPr>
  </w:style>
  <w:style w:type="character" w:customStyle="1" w:styleId="CommentSubjectChar">
    <w:name w:val="Comment Subject Char"/>
    <w:basedOn w:val="CommentTextChar"/>
    <w:link w:val="CommentSubject"/>
    <w:uiPriority w:val="99"/>
    <w:semiHidden/>
    <w:rsid w:val="000F2C1B"/>
    <w:rPr>
      <w:rFonts w:ascii="Arial" w:hAnsi="Arial" w:cs="Arial"/>
      <w:b/>
      <w:bCs/>
      <w:color w:val="000000"/>
      <w:sz w:val="20"/>
      <w:szCs w:val="20"/>
      <w:lang w:val="en-US"/>
    </w:rPr>
  </w:style>
  <w:style w:type="character" w:styleId="Hyperlink">
    <w:name w:val="Hyperlink"/>
    <w:basedOn w:val="DefaultParagraphFont"/>
    <w:uiPriority w:val="99"/>
    <w:unhideWhenUsed/>
    <w:rsid w:val="00BD1912"/>
    <w:rPr>
      <w:color w:val="000000" w:themeColor="hyperlink"/>
      <w:u w:val="single"/>
    </w:rPr>
  </w:style>
  <w:style w:type="character" w:styleId="UnresolvedMention">
    <w:name w:val="Unresolved Mention"/>
    <w:basedOn w:val="DefaultParagraphFont"/>
    <w:uiPriority w:val="99"/>
    <w:semiHidden/>
    <w:unhideWhenUsed/>
    <w:rsid w:val="00BD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11599">
      <w:bodyDiv w:val="1"/>
      <w:marLeft w:val="0"/>
      <w:marRight w:val="0"/>
      <w:marTop w:val="0"/>
      <w:marBottom w:val="0"/>
      <w:divBdr>
        <w:top w:val="none" w:sz="0" w:space="0" w:color="auto"/>
        <w:left w:val="none" w:sz="0" w:space="0" w:color="auto"/>
        <w:bottom w:val="none" w:sz="0" w:space="0" w:color="auto"/>
        <w:right w:val="none" w:sz="0" w:space="0" w:color="auto"/>
      </w:divBdr>
    </w:div>
    <w:div w:id="1782148515">
      <w:bodyDiv w:val="1"/>
      <w:marLeft w:val="0"/>
      <w:marRight w:val="0"/>
      <w:marTop w:val="0"/>
      <w:marBottom w:val="0"/>
      <w:divBdr>
        <w:top w:val="none" w:sz="0" w:space="0" w:color="auto"/>
        <w:left w:val="none" w:sz="0" w:space="0" w:color="auto"/>
        <w:bottom w:val="none" w:sz="0" w:space="0" w:color="auto"/>
        <w:right w:val="none" w:sz="0" w:space="0" w:color="auto"/>
      </w:divBdr>
    </w:div>
    <w:div w:id="20217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me.surname@iag.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IAG">
      <a:dk1>
        <a:sysClr val="windowText" lastClr="000000"/>
      </a:dk1>
      <a:lt1>
        <a:sysClr val="window" lastClr="FFFFFF"/>
      </a:lt1>
      <a:dk2>
        <a:srgbClr val="202945"/>
      </a:dk2>
      <a:lt2>
        <a:srgbClr val="FDE051"/>
      </a:lt2>
      <a:accent1>
        <a:srgbClr val="592C82"/>
      </a:accent1>
      <a:accent2>
        <a:srgbClr val="2AC5F4"/>
      </a:accent2>
      <a:accent3>
        <a:srgbClr val="33647F"/>
      </a:accent3>
      <a:accent4>
        <a:srgbClr val="FCB442"/>
      </a:accent4>
      <a:accent5>
        <a:srgbClr val="42C0BB"/>
      </a:accent5>
      <a:accent6>
        <a:srgbClr val="F15F62"/>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33550CEAD564BA83A9771AC15C1A0" ma:contentTypeVersion="2" ma:contentTypeDescription="Create a new document." ma:contentTypeScope="" ma:versionID="c1a11b02a1a4a724008c0ac2f3fe7e2d">
  <xsd:schema xmlns:xsd="http://www.w3.org/2001/XMLSchema" xmlns:xs="http://www.w3.org/2001/XMLSchema" xmlns:p="http://schemas.microsoft.com/office/2006/metadata/properties" xmlns:ns2="e6fb739e-58cc-401a-925a-5d67fcbbeea1" targetNamespace="http://schemas.microsoft.com/office/2006/metadata/properties" ma:root="true" ma:fieldsID="78288582b7776890c8e073739f770544" ns2:_="">
    <xsd:import namespace="e6fb739e-58cc-401a-925a-5d67fcbbe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739e-58cc-401a-925a-5d67fcbb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B36D-3CAD-434F-BDB5-AC6483EB08D5}">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18200D-722A-4BA5-892E-81285CA6CFE5}"/>
</file>

<file path=customXml/itemProps3.xml><?xml version="1.0" encoding="utf-8"?>
<ds:datastoreItem xmlns:ds="http://schemas.openxmlformats.org/officeDocument/2006/customXml" ds:itemID="{95B4E63E-8F0C-4987-8326-5D64A3633F93}">
  <ds:schemaRefs>
    <ds:schemaRef ds:uri="http://schemas.microsoft.com/sharepoint/v3/contenttype/forms"/>
  </ds:schemaRefs>
</ds:datastoreItem>
</file>

<file path=customXml/itemProps4.xml><?xml version="1.0" encoding="utf-8"?>
<ds:datastoreItem xmlns:ds="http://schemas.openxmlformats.org/officeDocument/2006/customXml" ds:itemID="{A17AA1B0-5567-4004-8978-9081D829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Pearson</dc:creator>
  <cp:keywords/>
  <dc:description/>
  <cp:lastModifiedBy>IAG</cp:lastModifiedBy>
  <cp:revision>3</cp:revision>
  <dcterms:created xsi:type="dcterms:W3CDTF">2019-12-18T22:47:00Z</dcterms:created>
  <dcterms:modified xsi:type="dcterms:W3CDTF">2019-12-18T22:48:00Z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0x010100CD333550CEAD564BA83A9771AC15C1A0</vt:lpwstr>
  </property>
  <property fmtid="{D5CDD505-2E9C-101B-9397-08002B2CF9AE}" pid="3" name="_AdHocReviewCycleID">
    <vt:i4>-1113182140</vt:i4>
  </property>
  <property fmtid="{D5CDD505-2E9C-101B-9397-08002B2CF9AE}" pid="4" name="_NewReviewCycle">
    <vt:lpwstr/>
  </property>
  <property fmtid="{D5CDD505-2E9C-101B-9397-08002B2CF9AE}" pid="5" name="_EmailSubject">
    <vt:lpwstr>IAG submission for the NTC RIS on the barriers to the safe use of personal mobility devices</vt:lpwstr>
  </property>
  <property fmtid="{D5CDD505-2E9C-101B-9397-08002B2CF9AE}" pid="6" name="_AuthorEmail">
    <vt:lpwstr>Katherine.Hopman@iag.com.au</vt:lpwstr>
  </property>
  <property fmtid="{D5CDD505-2E9C-101B-9397-08002B2CF9AE}" pid="7" name="_AuthorEmailDisplayName">
    <vt:lpwstr>Katherine Hopman</vt:lpwstr>
  </property>
</Properties>
</file>