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911" w:type="dxa"/>
        <w:tblInd w:w="3437" w:type="dxa"/>
        <w:tblLayout w:type="fixed"/>
        <w:tblCellMar>
          <w:left w:w="0" w:type="dxa"/>
          <w:right w:w="0" w:type="dxa"/>
        </w:tblCellMar>
        <w:tblLook w:val="01E0" w:firstRow="1" w:lastRow="1" w:firstColumn="1" w:lastColumn="1" w:noHBand="0" w:noVBand="0"/>
      </w:tblPr>
      <w:tblGrid>
        <w:gridCol w:w="6911"/>
      </w:tblGrid>
      <w:tr w:rsidR="002371D4" w:rsidRPr="00E11CB8" w14:paraId="06AC52DC" w14:textId="77777777" w:rsidTr="006E5C48">
        <w:trPr>
          <w:trHeight w:hRule="exact" w:val="91"/>
        </w:trPr>
        <w:tc>
          <w:tcPr>
            <w:tcW w:w="6911" w:type="dxa"/>
            <w:shd w:val="clear" w:color="auto" w:fill="auto"/>
          </w:tcPr>
          <w:p w14:paraId="6B8FCCAF" w14:textId="77777777" w:rsidR="003E2FBB" w:rsidRPr="003750BB" w:rsidRDefault="003E2FBB" w:rsidP="006E5C48">
            <w:pPr>
              <w:pStyle w:val="Form-Title"/>
              <w:spacing w:line="276" w:lineRule="auto"/>
              <w:rPr>
                <w:i w:val="0"/>
                <w:color w:val="auto"/>
                <w:sz w:val="24"/>
              </w:rPr>
            </w:pPr>
          </w:p>
        </w:tc>
      </w:tr>
    </w:tbl>
    <w:p w14:paraId="1BF38117" w14:textId="77777777" w:rsidR="002E5B15" w:rsidRPr="00403269" w:rsidRDefault="002E5B15" w:rsidP="002E5B15">
      <w:pPr>
        <w:pStyle w:val="NormalWeb"/>
        <w:shd w:val="clear" w:color="auto" w:fill="FFFFFF"/>
        <w:jc w:val="both"/>
        <w:textAlignment w:val="baseline"/>
        <w:rPr>
          <w:color w:val="000000"/>
          <w:sz w:val="21"/>
          <w:szCs w:val="21"/>
          <w:bdr w:val="none" w:sz="0" w:space="0" w:color="auto" w:frame="1"/>
        </w:rPr>
      </w:pPr>
      <w:r w:rsidRPr="00403269">
        <w:rPr>
          <w:color w:val="000000"/>
          <w:sz w:val="21"/>
          <w:szCs w:val="21"/>
          <w:bdr w:val="none" w:sz="0" w:space="0" w:color="auto" w:frame="1"/>
        </w:rPr>
        <w:t>National Transport Commission</w:t>
      </w:r>
    </w:p>
    <w:p w14:paraId="67AC078D" w14:textId="77777777" w:rsidR="002E5B15" w:rsidRPr="00403269" w:rsidRDefault="002E5B15" w:rsidP="002E5B15">
      <w:pPr>
        <w:pStyle w:val="NormalWeb"/>
        <w:shd w:val="clear" w:color="auto" w:fill="FFFFFF"/>
        <w:jc w:val="both"/>
        <w:textAlignment w:val="baseline"/>
        <w:rPr>
          <w:color w:val="000000"/>
          <w:sz w:val="21"/>
          <w:szCs w:val="21"/>
          <w:bdr w:val="none" w:sz="0" w:space="0" w:color="auto" w:frame="1"/>
        </w:rPr>
      </w:pPr>
      <w:r w:rsidRPr="00403269">
        <w:rPr>
          <w:color w:val="000000"/>
          <w:sz w:val="21"/>
          <w:szCs w:val="21"/>
          <w:bdr w:val="none" w:sz="0" w:space="0" w:color="auto" w:frame="1"/>
        </w:rPr>
        <w:t>Level 3/600 Bourke Street</w:t>
      </w:r>
    </w:p>
    <w:p w14:paraId="4DAA8EE7" w14:textId="77777777" w:rsidR="002E5B15" w:rsidRPr="00403269" w:rsidRDefault="002E5B15" w:rsidP="002E5B15">
      <w:pPr>
        <w:pStyle w:val="NormalWeb"/>
        <w:shd w:val="clear" w:color="auto" w:fill="FFFFFF"/>
        <w:spacing w:before="0" w:after="0"/>
        <w:jc w:val="both"/>
        <w:textAlignment w:val="baseline"/>
        <w:rPr>
          <w:color w:val="000000"/>
          <w:sz w:val="21"/>
          <w:szCs w:val="21"/>
          <w:bdr w:val="none" w:sz="0" w:space="0" w:color="auto" w:frame="1"/>
        </w:rPr>
      </w:pPr>
      <w:r w:rsidRPr="00403269">
        <w:rPr>
          <w:color w:val="000000"/>
          <w:sz w:val="21"/>
          <w:szCs w:val="21"/>
          <w:bdr w:val="none" w:sz="0" w:space="0" w:color="auto" w:frame="1"/>
        </w:rPr>
        <w:t xml:space="preserve">MELBOURNE </w:t>
      </w:r>
    </w:p>
    <w:p w14:paraId="2339163A" w14:textId="77777777" w:rsidR="002E5B15" w:rsidRPr="00403269" w:rsidRDefault="002E5B15" w:rsidP="002E5B15">
      <w:pPr>
        <w:pStyle w:val="NormalWeb"/>
        <w:shd w:val="clear" w:color="auto" w:fill="FFFFFF"/>
        <w:spacing w:after="0"/>
        <w:jc w:val="both"/>
        <w:textAlignment w:val="baseline"/>
        <w:rPr>
          <w:color w:val="000000"/>
          <w:sz w:val="21"/>
          <w:szCs w:val="21"/>
          <w:bdr w:val="none" w:sz="0" w:space="0" w:color="auto" w:frame="1"/>
        </w:rPr>
      </w:pPr>
      <w:r w:rsidRPr="00403269">
        <w:rPr>
          <w:color w:val="000000"/>
          <w:sz w:val="21"/>
          <w:szCs w:val="21"/>
          <w:bdr w:val="none" w:sz="0" w:space="0" w:color="auto" w:frame="1"/>
        </w:rPr>
        <w:t>VIC 3000</w:t>
      </w:r>
    </w:p>
    <w:p w14:paraId="60166E88" w14:textId="77777777" w:rsidR="002E5B15" w:rsidRPr="00E11CB8" w:rsidRDefault="002E5B15" w:rsidP="002E5B15">
      <w:pPr>
        <w:pStyle w:val="NormalWeb"/>
        <w:shd w:val="clear" w:color="auto" w:fill="FFFFFF"/>
        <w:spacing w:before="0" w:after="0"/>
        <w:jc w:val="both"/>
        <w:textAlignment w:val="baseline"/>
        <w:rPr>
          <w:rFonts w:asciiTheme="minorHAnsi" w:hAnsiTheme="minorHAnsi" w:cstheme="minorHAnsi"/>
          <w:color w:val="0000FF"/>
          <w:lang w:eastAsia="en-AU"/>
        </w:rPr>
      </w:pPr>
    </w:p>
    <w:p w14:paraId="579B51D7" w14:textId="77777777" w:rsidR="002E5B15" w:rsidRPr="00B31F31" w:rsidRDefault="006E5C48" w:rsidP="00403269">
      <w:pPr>
        <w:pStyle w:val="NormalWeb"/>
        <w:shd w:val="clear" w:color="auto" w:fill="FFFFFF"/>
        <w:spacing w:before="0" w:after="0"/>
        <w:jc w:val="both"/>
        <w:textAlignment w:val="baseline"/>
        <w:rPr>
          <w:b/>
          <w:bCs/>
          <w:color w:val="000000"/>
          <w:lang w:eastAsia="en-AU"/>
        </w:rPr>
      </w:pPr>
      <w:r w:rsidRPr="006E5C48">
        <w:rPr>
          <w:b/>
          <w:bCs/>
          <w:color w:val="000000"/>
          <w:lang w:eastAsia="en-AU"/>
        </w:rPr>
        <w:t>Review of Guidelines for</w:t>
      </w:r>
      <w:r>
        <w:rPr>
          <w:b/>
          <w:bCs/>
          <w:color w:val="000000"/>
          <w:lang w:eastAsia="en-AU"/>
        </w:rPr>
        <w:t xml:space="preserve"> </w:t>
      </w:r>
      <w:r w:rsidRPr="006E5C48">
        <w:rPr>
          <w:b/>
          <w:bCs/>
          <w:color w:val="000000"/>
          <w:lang w:eastAsia="en-AU"/>
        </w:rPr>
        <w:t>trials of automated vehicles</w:t>
      </w:r>
      <w:r>
        <w:rPr>
          <w:b/>
          <w:bCs/>
          <w:color w:val="000000"/>
          <w:lang w:eastAsia="en-AU"/>
        </w:rPr>
        <w:t xml:space="preserve"> </w:t>
      </w:r>
      <w:r w:rsidRPr="006E5C48">
        <w:rPr>
          <w:b/>
          <w:bCs/>
          <w:color w:val="000000"/>
          <w:lang w:eastAsia="en-AU"/>
        </w:rPr>
        <w:t>in Australia</w:t>
      </w:r>
      <w:r>
        <w:rPr>
          <w:b/>
          <w:bCs/>
          <w:color w:val="000000"/>
          <w:lang w:eastAsia="en-AU"/>
        </w:rPr>
        <w:t xml:space="preserve"> – Discussion Paper</w:t>
      </w:r>
    </w:p>
    <w:p w14:paraId="7C9F774C" w14:textId="77777777" w:rsidR="002E5B15" w:rsidRPr="00E11CB8" w:rsidRDefault="002E5B15" w:rsidP="00B31F31">
      <w:pPr>
        <w:shd w:val="clear" w:color="auto" w:fill="FFFFFF"/>
        <w:spacing w:before="120"/>
        <w:textAlignment w:val="baseline"/>
        <w:rPr>
          <w:rFonts w:asciiTheme="minorHAnsi" w:hAnsiTheme="minorHAnsi" w:cstheme="minorHAnsi"/>
          <w:color w:val="000000"/>
        </w:rPr>
      </w:pPr>
    </w:p>
    <w:p w14:paraId="0CB0A8C8" w14:textId="1505F1E6" w:rsidR="002E5B15" w:rsidRPr="00403269" w:rsidRDefault="002E5B15" w:rsidP="006E5C48">
      <w:pPr>
        <w:shd w:val="clear" w:color="auto" w:fill="FFFFFF"/>
        <w:jc w:val="both"/>
        <w:textAlignment w:val="baseline"/>
        <w:rPr>
          <w:color w:val="000000"/>
          <w:sz w:val="21"/>
          <w:szCs w:val="21"/>
        </w:rPr>
      </w:pPr>
      <w:r w:rsidRPr="00403269">
        <w:rPr>
          <w:color w:val="000000"/>
          <w:sz w:val="21"/>
          <w:szCs w:val="21"/>
        </w:rPr>
        <w:t>The Royal Automobile Club of Queensland (RACQ)</w:t>
      </w:r>
      <w:r w:rsidR="006E5C48" w:rsidRPr="00403269">
        <w:rPr>
          <w:color w:val="000000"/>
          <w:sz w:val="21"/>
          <w:szCs w:val="21"/>
        </w:rPr>
        <w:t xml:space="preserve"> and Redland City Council</w:t>
      </w:r>
      <w:r w:rsidRPr="00403269">
        <w:rPr>
          <w:color w:val="000000"/>
          <w:sz w:val="21"/>
          <w:szCs w:val="21"/>
        </w:rPr>
        <w:t xml:space="preserve"> thanks the National Transport Commission for the opportunity to provide this submission to the </w:t>
      </w:r>
      <w:r w:rsidR="006E5C48" w:rsidRPr="00403269">
        <w:rPr>
          <w:color w:val="000000"/>
          <w:sz w:val="21"/>
          <w:szCs w:val="21"/>
        </w:rPr>
        <w:t>‘</w:t>
      </w:r>
      <w:r w:rsidR="006E5C48" w:rsidRPr="00403269">
        <w:rPr>
          <w:i/>
          <w:iCs/>
          <w:color w:val="000000"/>
          <w:sz w:val="21"/>
          <w:szCs w:val="21"/>
        </w:rPr>
        <w:t>Review of Guidelines for Trials of Automated Vehicles in Australia’ Discussion Paper</w:t>
      </w:r>
      <w:r w:rsidRPr="00403269">
        <w:rPr>
          <w:color w:val="000000"/>
          <w:sz w:val="21"/>
          <w:szCs w:val="21"/>
        </w:rPr>
        <w:t>.</w:t>
      </w:r>
      <w:r w:rsidR="006E5C48" w:rsidRPr="00403269">
        <w:rPr>
          <w:color w:val="000000"/>
          <w:sz w:val="21"/>
          <w:szCs w:val="21"/>
        </w:rPr>
        <w:t xml:space="preserve"> This submission has been provided as a joint response from the two partners who delivered the Redlands Coast Smart Mobility Trial with the RACQ Smart Shuttle, which was the first deployment of an autonomous vehicle (AV) in a live traffic environment in Queensland. The trial operated from November 2019 – March 2020 on Karragarra Island within the Redland City Council local government area. </w:t>
      </w:r>
    </w:p>
    <w:p w14:paraId="7047B208" w14:textId="77777777" w:rsidR="006E5C48" w:rsidRPr="00403269" w:rsidRDefault="006E5C48" w:rsidP="006E5C48">
      <w:pPr>
        <w:shd w:val="clear" w:color="auto" w:fill="FFFFFF"/>
        <w:jc w:val="both"/>
        <w:textAlignment w:val="baseline"/>
        <w:rPr>
          <w:color w:val="000000"/>
          <w:sz w:val="21"/>
          <w:szCs w:val="21"/>
        </w:rPr>
      </w:pPr>
    </w:p>
    <w:p w14:paraId="0985D1A6" w14:textId="77777777" w:rsidR="006E5C48" w:rsidRPr="00403269" w:rsidRDefault="006E5C48" w:rsidP="00403269">
      <w:pPr>
        <w:shd w:val="clear" w:color="auto" w:fill="FFFFFF"/>
        <w:jc w:val="both"/>
        <w:textAlignment w:val="baseline"/>
        <w:rPr>
          <w:color w:val="000000"/>
          <w:sz w:val="21"/>
          <w:szCs w:val="21"/>
        </w:rPr>
      </w:pPr>
      <w:r w:rsidRPr="00403269">
        <w:rPr>
          <w:color w:val="000000"/>
          <w:sz w:val="21"/>
          <w:szCs w:val="21"/>
        </w:rPr>
        <w:t xml:space="preserve">General feedback </w:t>
      </w:r>
      <w:r w:rsidR="00C45EA9" w:rsidRPr="00403269">
        <w:rPr>
          <w:color w:val="000000"/>
          <w:sz w:val="21"/>
          <w:szCs w:val="21"/>
        </w:rPr>
        <w:t>on the usefulness, relevance, and application of the guidelines</w:t>
      </w:r>
      <w:r w:rsidRPr="00403269">
        <w:rPr>
          <w:color w:val="000000"/>
          <w:sz w:val="21"/>
          <w:szCs w:val="21"/>
        </w:rPr>
        <w:t xml:space="preserve"> </w:t>
      </w:r>
      <w:r w:rsidR="00C45EA9" w:rsidRPr="00403269">
        <w:rPr>
          <w:color w:val="000000"/>
          <w:sz w:val="21"/>
          <w:szCs w:val="21"/>
        </w:rPr>
        <w:t>is outlined below for your consideration</w:t>
      </w:r>
      <w:r w:rsidRPr="00403269">
        <w:rPr>
          <w:color w:val="000000"/>
          <w:sz w:val="21"/>
          <w:szCs w:val="21"/>
        </w:rPr>
        <w:t>:</w:t>
      </w:r>
    </w:p>
    <w:p w14:paraId="6DC880C7" w14:textId="77777777" w:rsidR="00C45EA9" w:rsidRPr="00403269" w:rsidRDefault="006E5C48" w:rsidP="009D011F">
      <w:pPr>
        <w:pStyle w:val="ListParagraph"/>
        <w:numPr>
          <w:ilvl w:val="0"/>
          <w:numId w:val="20"/>
        </w:numPr>
        <w:autoSpaceDE/>
        <w:autoSpaceDN/>
        <w:adjustRightInd/>
        <w:spacing w:after="160" w:line="256" w:lineRule="auto"/>
        <w:jc w:val="both"/>
        <w:rPr>
          <w:sz w:val="21"/>
          <w:szCs w:val="21"/>
        </w:rPr>
      </w:pPr>
      <w:r w:rsidRPr="00403269">
        <w:rPr>
          <w:sz w:val="21"/>
          <w:szCs w:val="21"/>
        </w:rPr>
        <w:t xml:space="preserve">The guidelines lack </w:t>
      </w:r>
      <w:r w:rsidR="00C45EA9" w:rsidRPr="00403269">
        <w:rPr>
          <w:sz w:val="21"/>
          <w:szCs w:val="21"/>
        </w:rPr>
        <w:t>inclusion of</w:t>
      </w:r>
      <w:r w:rsidRPr="00403269">
        <w:rPr>
          <w:sz w:val="21"/>
          <w:szCs w:val="21"/>
        </w:rPr>
        <w:t xml:space="preserve"> specific detail</w:t>
      </w:r>
      <w:r w:rsidR="00C45EA9" w:rsidRPr="00403269">
        <w:rPr>
          <w:sz w:val="21"/>
          <w:szCs w:val="21"/>
        </w:rPr>
        <w:t>s</w:t>
      </w:r>
      <w:r w:rsidRPr="00403269">
        <w:rPr>
          <w:sz w:val="21"/>
          <w:szCs w:val="21"/>
        </w:rPr>
        <w:t xml:space="preserve"> that </w:t>
      </w:r>
      <w:r w:rsidR="00C45EA9" w:rsidRPr="00403269">
        <w:rPr>
          <w:sz w:val="21"/>
          <w:szCs w:val="21"/>
        </w:rPr>
        <w:t>would be required,</w:t>
      </w:r>
      <w:r w:rsidRPr="00403269">
        <w:rPr>
          <w:sz w:val="21"/>
          <w:szCs w:val="21"/>
        </w:rPr>
        <w:t xml:space="preserve"> helpful</w:t>
      </w:r>
      <w:r w:rsidR="00C45EA9" w:rsidRPr="00403269">
        <w:rPr>
          <w:sz w:val="21"/>
          <w:szCs w:val="21"/>
        </w:rPr>
        <w:t>,</w:t>
      </w:r>
      <w:r w:rsidRPr="00403269">
        <w:rPr>
          <w:sz w:val="21"/>
          <w:szCs w:val="21"/>
        </w:rPr>
        <w:t xml:space="preserve"> or informative in terms of preparing a permit application. </w:t>
      </w:r>
    </w:p>
    <w:p w14:paraId="40014A54" w14:textId="77777777" w:rsidR="006E5C48" w:rsidRPr="00403269" w:rsidRDefault="00C45EA9" w:rsidP="009D011F">
      <w:pPr>
        <w:pStyle w:val="ListParagraph"/>
        <w:numPr>
          <w:ilvl w:val="1"/>
          <w:numId w:val="20"/>
        </w:numPr>
        <w:autoSpaceDE/>
        <w:autoSpaceDN/>
        <w:adjustRightInd/>
        <w:spacing w:after="160" w:line="256" w:lineRule="auto"/>
        <w:jc w:val="both"/>
        <w:rPr>
          <w:sz w:val="21"/>
          <w:szCs w:val="21"/>
        </w:rPr>
      </w:pPr>
      <w:r w:rsidRPr="00403269">
        <w:rPr>
          <w:sz w:val="21"/>
          <w:szCs w:val="21"/>
        </w:rPr>
        <w:t>This could be improved</w:t>
      </w:r>
      <w:r w:rsidR="006E5C48" w:rsidRPr="00403269">
        <w:rPr>
          <w:sz w:val="21"/>
          <w:szCs w:val="21"/>
        </w:rPr>
        <w:t xml:space="preserve"> if the guidelines provided specific information, such as applicable legislation – </w:t>
      </w:r>
      <w:proofErr w:type="gramStart"/>
      <w:r w:rsidR="006E5C48" w:rsidRPr="00403269">
        <w:rPr>
          <w:sz w:val="21"/>
          <w:szCs w:val="21"/>
        </w:rPr>
        <w:t>in particular disability</w:t>
      </w:r>
      <w:proofErr w:type="gramEnd"/>
      <w:r w:rsidR="006E5C48" w:rsidRPr="00403269">
        <w:rPr>
          <w:sz w:val="21"/>
          <w:szCs w:val="21"/>
        </w:rPr>
        <w:t xml:space="preserve"> and accessibility legislation as this was a significant aspect of the Karragarra Island permit application </w:t>
      </w:r>
      <w:r w:rsidRPr="00403269">
        <w:rPr>
          <w:sz w:val="21"/>
          <w:szCs w:val="21"/>
        </w:rPr>
        <w:t>which</w:t>
      </w:r>
      <w:r w:rsidR="006E5C48" w:rsidRPr="00403269">
        <w:rPr>
          <w:sz w:val="21"/>
          <w:szCs w:val="21"/>
        </w:rPr>
        <w:t xml:space="preserve"> wasn’t initially </w:t>
      </w:r>
      <w:r w:rsidRPr="00403269">
        <w:rPr>
          <w:sz w:val="21"/>
          <w:szCs w:val="21"/>
        </w:rPr>
        <w:t>identified</w:t>
      </w:r>
      <w:r w:rsidR="006E5C48" w:rsidRPr="00403269">
        <w:rPr>
          <w:sz w:val="21"/>
          <w:szCs w:val="21"/>
        </w:rPr>
        <w:t xml:space="preserve"> in the planning stages. </w:t>
      </w:r>
    </w:p>
    <w:p w14:paraId="0C8D520F" w14:textId="77777777" w:rsidR="00C45EA9" w:rsidRPr="00403269" w:rsidRDefault="00C45EA9" w:rsidP="009D011F">
      <w:pPr>
        <w:pStyle w:val="ListParagraph"/>
        <w:numPr>
          <w:ilvl w:val="0"/>
          <w:numId w:val="20"/>
        </w:numPr>
        <w:autoSpaceDE/>
        <w:autoSpaceDN/>
        <w:adjustRightInd/>
        <w:spacing w:after="160" w:line="256" w:lineRule="auto"/>
        <w:jc w:val="both"/>
        <w:rPr>
          <w:sz w:val="21"/>
          <w:szCs w:val="21"/>
        </w:rPr>
      </w:pPr>
      <w:r w:rsidRPr="00403269">
        <w:rPr>
          <w:sz w:val="21"/>
          <w:szCs w:val="21"/>
        </w:rPr>
        <w:t>The current g</w:t>
      </w:r>
      <w:r w:rsidR="006E5C48" w:rsidRPr="00403269">
        <w:rPr>
          <w:sz w:val="21"/>
          <w:szCs w:val="21"/>
        </w:rPr>
        <w:t xml:space="preserve">uidelines </w:t>
      </w:r>
      <w:r w:rsidRPr="00403269">
        <w:rPr>
          <w:sz w:val="21"/>
          <w:szCs w:val="21"/>
        </w:rPr>
        <w:t>seem primarily</w:t>
      </w:r>
      <w:r w:rsidR="006E5C48" w:rsidRPr="00403269">
        <w:rPr>
          <w:sz w:val="21"/>
          <w:szCs w:val="21"/>
        </w:rPr>
        <w:t xml:space="preserve"> focussed on </w:t>
      </w:r>
      <w:r w:rsidRPr="00403269">
        <w:rPr>
          <w:sz w:val="21"/>
          <w:szCs w:val="21"/>
        </w:rPr>
        <w:t>private (non-public) AV testing</w:t>
      </w:r>
      <w:r w:rsidR="006E5C48" w:rsidRPr="00403269">
        <w:rPr>
          <w:sz w:val="21"/>
          <w:szCs w:val="21"/>
        </w:rPr>
        <w:t xml:space="preserve"> and </w:t>
      </w:r>
      <w:r w:rsidRPr="00403269">
        <w:rPr>
          <w:sz w:val="21"/>
          <w:szCs w:val="21"/>
        </w:rPr>
        <w:t>are limited in consideration of application to</w:t>
      </w:r>
      <w:r w:rsidR="006E5C48" w:rsidRPr="00403269">
        <w:rPr>
          <w:sz w:val="21"/>
          <w:szCs w:val="21"/>
        </w:rPr>
        <w:t xml:space="preserve"> shuttles</w:t>
      </w:r>
      <w:r w:rsidRPr="00403269">
        <w:rPr>
          <w:sz w:val="21"/>
          <w:szCs w:val="21"/>
        </w:rPr>
        <w:t>,</w:t>
      </w:r>
      <w:r w:rsidR="006E5C48" w:rsidRPr="00403269">
        <w:rPr>
          <w:sz w:val="21"/>
          <w:szCs w:val="21"/>
        </w:rPr>
        <w:t xml:space="preserve"> </w:t>
      </w:r>
      <w:r w:rsidRPr="00403269">
        <w:rPr>
          <w:sz w:val="21"/>
          <w:szCs w:val="21"/>
        </w:rPr>
        <w:t>public transport, or commercial services.</w:t>
      </w:r>
    </w:p>
    <w:p w14:paraId="2491BF40" w14:textId="77777777" w:rsidR="006E5C48" w:rsidRPr="00403269" w:rsidRDefault="00C45EA9" w:rsidP="009D011F">
      <w:pPr>
        <w:pStyle w:val="ListParagraph"/>
        <w:numPr>
          <w:ilvl w:val="1"/>
          <w:numId w:val="20"/>
        </w:numPr>
        <w:autoSpaceDE/>
        <w:autoSpaceDN/>
        <w:adjustRightInd/>
        <w:spacing w:after="160" w:line="256" w:lineRule="auto"/>
        <w:jc w:val="both"/>
        <w:rPr>
          <w:sz w:val="21"/>
          <w:szCs w:val="21"/>
        </w:rPr>
      </w:pPr>
      <w:r w:rsidRPr="00403269">
        <w:rPr>
          <w:sz w:val="21"/>
          <w:szCs w:val="21"/>
        </w:rPr>
        <w:t>G</w:t>
      </w:r>
      <w:r w:rsidR="006E5C48" w:rsidRPr="00403269">
        <w:rPr>
          <w:sz w:val="21"/>
          <w:szCs w:val="21"/>
        </w:rPr>
        <w:t xml:space="preserve">reater guidance for deploying shuttles for passenger transport services should be integrated into the document. </w:t>
      </w:r>
    </w:p>
    <w:p w14:paraId="0662BDC4" w14:textId="77777777" w:rsidR="00C45EA9" w:rsidRPr="00403269" w:rsidRDefault="00C45EA9" w:rsidP="009D011F">
      <w:pPr>
        <w:pStyle w:val="ListParagraph"/>
        <w:numPr>
          <w:ilvl w:val="0"/>
          <w:numId w:val="20"/>
        </w:numPr>
        <w:autoSpaceDE/>
        <w:autoSpaceDN/>
        <w:adjustRightInd/>
        <w:spacing w:after="160" w:line="256" w:lineRule="auto"/>
        <w:jc w:val="both"/>
        <w:rPr>
          <w:sz w:val="21"/>
          <w:szCs w:val="21"/>
        </w:rPr>
      </w:pPr>
      <w:r w:rsidRPr="00403269">
        <w:rPr>
          <w:sz w:val="21"/>
          <w:szCs w:val="21"/>
        </w:rPr>
        <w:t>The</w:t>
      </w:r>
      <w:r w:rsidR="006E5C48" w:rsidRPr="00403269">
        <w:rPr>
          <w:sz w:val="21"/>
          <w:szCs w:val="21"/>
        </w:rPr>
        <w:t xml:space="preserve"> obligation on State Government’s to adopt and implement the guidelines</w:t>
      </w:r>
      <w:r w:rsidRPr="00403269">
        <w:rPr>
          <w:sz w:val="21"/>
          <w:szCs w:val="21"/>
        </w:rPr>
        <w:t xml:space="preserve"> is unclear. As it is not legislated, unless State’s publish their processes/frameworks or intent to use the guidelines, there will be ongoing barriers related to State-based implementation and nuances.</w:t>
      </w:r>
    </w:p>
    <w:p w14:paraId="1516AE92" w14:textId="77777777" w:rsidR="00403269" w:rsidRPr="00403269" w:rsidRDefault="006E5C48" w:rsidP="009D011F">
      <w:pPr>
        <w:pStyle w:val="ListParagraph"/>
        <w:numPr>
          <w:ilvl w:val="1"/>
          <w:numId w:val="20"/>
        </w:numPr>
        <w:autoSpaceDE/>
        <w:autoSpaceDN/>
        <w:adjustRightInd/>
        <w:spacing w:after="160" w:line="256" w:lineRule="auto"/>
        <w:jc w:val="both"/>
        <w:rPr>
          <w:sz w:val="21"/>
          <w:szCs w:val="21"/>
        </w:rPr>
      </w:pPr>
      <w:r w:rsidRPr="00403269">
        <w:rPr>
          <w:sz w:val="21"/>
          <w:szCs w:val="21"/>
        </w:rPr>
        <w:t xml:space="preserve">To provide transparency </w:t>
      </w:r>
      <w:r w:rsidR="00C45EA9" w:rsidRPr="00403269">
        <w:rPr>
          <w:sz w:val="21"/>
          <w:szCs w:val="21"/>
        </w:rPr>
        <w:t>for application of the</w:t>
      </w:r>
      <w:r w:rsidRPr="00403269">
        <w:rPr>
          <w:sz w:val="21"/>
          <w:szCs w:val="21"/>
        </w:rPr>
        <w:t xml:space="preserve"> guidelines it would be </w:t>
      </w:r>
      <w:r w:rsidR="00C45EA9" w:rsidRPr="00403269">
        <w:rPr>
          <w:sz w:val="21"/>
          <w:szCs w:val="21"/>
        </w:rPr>
        <w:t>valuable</w:t>
      </w:r>
      <w:r w:rsidRPr="00403269">
        <w:rPr>
          <w:sz w:val="21"/>
          <w:szCs w:val="21"/>
        </w:rPr>
        <w:t xml:space="preserve"> if each State and Territory Government </w:t>
      </w:r>
      <w:r w:rsidR="00403269" w:rsidRPr="00403269">
        <w:rPr>
          <w:sz w:val="21"/>
          <w:szCs w:val="21"/>
        </w:rPr>
        <w:t xml:space="preserve">published </w:t>
      </w:r>
      <w:r w:rsidR="00C45EA9" w:rsidRPr="00403269">
        <w:rPr>
          <w:sz w:val="21"/>
          <w:szCs w:val="21"/>
        </w:rPr>
        <w:t>details</w:t>
      </w:r>
      <w:r w:rsidRPr="00403269">
        <w:rPr>
          <w:sz w:val="21"/>
          <w:szCs w:val="21"/>
        </w:rPr>
        <w:t xml:space="preserve"> </w:t>
      </w:r>
      <w:r w:rsidR="00403269" w:rsidRPr="00403269">
        <w:rPr>
          <w:sz w:val="21"/>
          <w:szCs w:val="21"/>
        </w:rPr>
        <w:t>of</w:t>
      </w:r>
      <w:r w:rsidRPr="00403269">
        <w:rPr>
          <w:sz w:val="21"/>
          <w:szCs w:val="21"/>
        </w:rPr>
        <w:t xml:space="preserve"> how </w:t>
      </w:r>
      <w:proofErr w:type="gramStart"/>
      <w:r w:rsidRPr="00403269">
        <w:rPr>
          <w:sz w:val="21"/>
          <w:szCs w:val="21"/>
        </w:rPr>
        <w:t>they’re</w:t>
      </w:r>
      <w:proofErr w:type="gramEnd"/>
      <w:r w:rsidRPr="00403269">
        <w:rPr>
          <w:sz w:val="21"/>
          <w:szCs w:val="21"/>
        </w:rPr>
        <w:t xml:space="preserve"> adopting the guidelines and</w:t>
      </w:r>
      <w:r w:rsidR="00C45EA9" w:rsidRPr="00403269">
        <w:rPr>
          <w:sz w:val="21"/>
          <w:szCs w:val="21"/>
        </w:rPr>
        <w:t xml:space="preserve"> aligned this to a</w:t>
      </w:r>
      <w:r w:rsidR="00403269" w:rsidRPr="00403269">
        <w:rPr>
          <w:sz w:val="21"/>
          <w:szCs w:val="21"/>
        </w:rPr>
        <w:t xml:space="preserve"> strategic</w:t>
      </w:r>
      <w:r w:rsidRPr="00403269">
        <w:rPr>
          <w:sz w:val="21"/>
          <w:szCs w:val="21"/>
        </w:rPr>
        <w:t xml:space="preserve"> vision</w:t>
      </w:r>
      <w:r w:rsidR="00C45EA9" w:rsidRPr="00403269">
        <w:rPr>
          <w:sz w:val="21"/>
          <w:szCs w:val="21"/>
        </w:rPr>
        <w:t xml:space="preserve"> and objectives</w:t>
      </w:r>
      <w:r w:rsidRPr="00403269">
        <w:rPr>
          <w:sz w:val="21"/>
          <w:szCs w:val="21"/>
        </w:rPr>
        <w:t xml:space="preserve"> for integrat</w:t>
      </w:r>
      <w:r w:rsidR="00C45EA9" w:rsidRPr="00403269">
        <w:rPr>
          <w:sz w:val="21"/>
          <w:szCs w:val="21"/>
        </w:rPr>
        <w:t>ing</w:t>
      </w:r>
      <w:r w:rsidRPr="00403269">
        <w:rPr>
          <w:sz w:val="21"/>
          <w:szCs w:val="21"/>
        </w:rPr>
        <w:t xml:space="preserve"> automated vehicles into the network. </w:t>
      </w:r>
    </w:p>
    <w:p w14:paraId="2233CA84" w14:textId="77777777" w:rsidR="006E5C48" w:rsidRPr="00403269" w:rsidRDefault="006E5C48" w:rsidP="009D011F">
      <w:pPr>
        <w:pStyle w:val="ListParagraph"/>
        <w:numPr>
          <w:ilvl w:val="1"/>
          <w:numId w:val="20"/>
        </w:numPr>
        <w:autoSpaceDE/>
        <w:autoSpaceDN/>
        <w:adjustRightInd/>
        <w:spacing w:after="160" w:line="256" w:lineRule="auto"/>
        <w:jc w:val="both"/>
        <w:rPr>
          <w:sz w:val="21"/>
          <w:szCs w:val="21"/>
        </w:rPr>
      </w:pPr>
      <w:r w:rsidRPr="00403269">
        <w:rPr>
          <w:sz w:val="21"/>
          <w:szCs w:val="21"/>
        </w:rPr>
        <w:t>Where State or territories differ in requirements</w:t>
      </w:r>
      <w:r w:rsidR="00403269" w:rsidRPr="00403269">
        <w:rPr>
          <w:sz w:val="21"/>
          <w:szCs w:val="21"/>
        </w:rPr>
        <w:t xml:space="preserve"> from the guidelines regarding </w:t>
      </w:r>
      <w:r w:rsidRPr="00403269">
        <w:rPr>
          <w:sz w:val="21"/>
          <w:szCs w:val="21"/>
        </w:rPr>
        <w:t xml:space="preserve">legislation, insurance, </w:t>
      </w:r>
      <w:r w:rsidR="00403269" w:rsidRPr="00403269">
        <w:rPr>
          <w:sz w:val="21"/>
          <w:szCs w:val="21"/>
        </w:rPr>
        <w:t>and other application information,</w:t>
      </w:r>
      <w:r w:rsidRPr="00403269">
        <w:rPr>
          <w:sz w:val="21"/>
          <w:szCs w:val="21"/>
        </w:rPr>
        <w:t xml:space="preserve"> it should be made clear and specific </w:t>
      </w:r>
      <w:r w:rsidR="00403269" w:rsidRPr="00403269">
        <w:rPr>
          <w:sz w:val="21"/>
          <w:szCs w:val="21"/>
        </w:rPr>
        <w:t xml:space="preserve">alternative </w:t>
      </w:r>
      <w:r w:rsidRPr="00403269">
        <w:rPr>
          <w:sz w:val="21"/>
          <w:szCs w:val="21"/>
        </w:rPr>
        <w:t xml:space="preserve">guidelines </w:t>
      </w:r>
      <w:r w:rsidR="00403269" w:rsidRPr="00403269">
        <w:rPr>
          <w:sz w:val="21"/>
          <w:szCs w:val="21"/>
        </w:rPr>
        <w:t>should be stated</w:t>
      </w:r>
      <w:r w:rsidRPr="00403269">
        <w:rPr>
          <w:sz w:val="21"/>
          <w:szCs w:val="21"/>
        </w:rPr>
        <w:t xml:space="preserve">. </w:t>
      </w:r>
    </w:p>
    <w:p w14:paraId="37ECFBA0" w14:textId="201DD15C" w:rsidR="002E5B15" w:rsidRPr="00403269" w:rsidRDefault="00403269" w:rsidP="0087285C">
      <w:pPr>
        <w:autoSpaceDE/>
        <w:autoSpaceDN/>
        <w:adjustRightInd/>
        <w:spacing w:line="256" w:lineRule="auto"/>
        <w:jc w:val="both"/>
        <w:rPr>
          <w:rFonts w:asciiTheme="minorHAnsi" w:hAnsiTheme="minorHAnsi" w:cstheme="minorHAnsi"/>
          <w:color w:val="000000"/>
          <w:sz w:val="21"/>
          <w:szCs w:val="21"/>
        </w:rPr>
      </w:pPr>
      <w:r w:rsidRPr="00403269">
        <w:rPr>
          <w:sz w:val="21"/>
          <w:szCs w:val="21"/>
        </w:rPr>
        <w:t xml:space="preserve">Responses to relevant questions have been detailed in the body of this submission. </w:t>
      </w:r>
      <w:r w:rsidR="002E5B15" w:rsidRPr="00403269">
        <w:rPr>
          <w:sz w:val="21"/>
          <w:szCs w:val="21"/>
        </w:rPr>
        <w:t>RACQ</w:t>
      </w:r>
      <w:r w:rsidRPr="00403269">
        <w:rPr>
          <w:sz w:val="21"/>
          <w:szCs w:val="21"/>
        </w:rPr>
        <w:t xml:space="preserve"> and Redland City Council</w:t>
      </w:r>
      <w:r w:rsidR="002E5B15" w:rsidRPr="00403269">
        <w:rPr>
          <w:sz w:val="21"/>
          <w:szCs w:val="21"/>
        </w:rPr>
        <w:t xml:space="preserve"> thanks the NTC for the opportunity to provide this submission and contribute to shaping the future of Australia’s transport network. Should you need to discuss any of the items raised in this </w:t>
      </w:r>
      <w:r w:rsidR="009D703D">
        <w:rPr>
          <w:sz w:val="21"/>
          <w:szCs w:val="21"/>
        </w:rPr>
        <w:t>submission</w:t>
      </w:r>
      <w:r w:rsidR="002E5B15" w:rsidRPr="00403269">
        <w:rPr>
          <w:sz w:val="21"/>
          <w:szCs w:val="21"/>
        </w:rPr>
        <w:t xml:space="preserve">, </w:t>
      </w:r>
      <w:r w:rsidR="009D703D">
        <w:rPr>
          <w:sz w:val="21"/>
          <w:szCs w:val="21"/>
        </w:rPr>
        <w:t>please feel free to contact me.</w:t>
      </w:r>
    </w:p>
    <w:p w14:paraId="197E0284" w14:textId="77777777" w:rsidR="000D4460" w:rsidRPr="00403269" w:rsidRDefault="000D4460" w:rsidP="00403269">
      <w:pPr>
        <w:rPr>
          <w:sz w:val="21"/>
          <w:szCs w:val="21"/>
        </w:rPr>
      </w:pPr>
    </w:p>
    <w:p w14:paraId="1233502E" w14:textId="77777777" w:rsidR="002E5B15" w:rsidRDefault="002E5B15" w:rsidP="002E5B15">
      <w:pPr>
        <w:spacing w:before="120" w:after="120"/>
      </w:pPr>
      <w:r w:rsidRPr="00403269">
        <w:rPr>
          <w:sz w:val="21"/>
          <w:szCs w:val="21"/>
        </w:rPr>
        <w:t>Yours sincerely</w:t>
      </w:r>
    </w:p>
    <w:p w14:paraId="5597C076" w14:textId="77777777" w:rsidR="000D4460" w:rsidRPr="00EB42BF" w:rsidRDefault="009D011F" w:rsidP="002E5B15">
      <w:pPr>
        <w:spacing w:before="120" w:after="120"/>
      </w:pPr>
      <w:r w:rsidRPr="00403269">
        <w:rPr>
          <w:noProof/>
          <w:sz w:val="21"/>
          <w:szCs w:val="21"/>
        </w:rPr>
        <w:drawing>
          <wp:anchor distT="0" distB="0" distL="114300" distR="114300" simplePos="0" relativeHeight="251658240" behindDoc="0" locked="0" layoutInCell="1" allowOverlap="1" wp14:anchorId="388C7381" wp14:editId="7F37DE8C">
            <wp:simplePos x="0" y="0"/>
            <wp:positionH relativeFrom="margin">
              <wp:posOffset>-1354</wp:posOffset>
            </wp:positionH>
            <wp:positionV relativeFrom="paragraph">
              <wp:posOffset>17061</wp:posOffset>
            </wp:positionV>
            <wp:extent cx="1241425" cy="448574"/>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7758" b="16222"/>
                    <a:stretch/>
                  </pic:blipFill>
                  <pic:spPr bwMode="auto">
                    <a:xfrm>
                      <a:off x="0" y="0"/>
                      <a:ext cx="1241425" cy="4485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BF6135" w14:textId="77777777" w:rsidR="002E5B15" w:rsidRPr="00EB42BF" w:rsidRDefault="002E5B15" w:rsidP="002E5B15">
      <w:pPr>
        <w:spacing w:before="120" w:after="120"/>
      </w:pPr>
    </w:p>
    <w:p w14:paraId="7E010F22" w14:textId="77777777" w:rsidR="002E5B15" w:rsidRPr="00403269" w:rsidRDefault="002E5B15" w:rsidP="002E5B15">
      <w:pPr>
        <w:pStyle w:val="Heading1"/>
        <w:spacing w:before="120" w:after="120"/>
        <w:rPr>
          <w:b w:val="0"/>
          <w:bCs w:val="0"/>
          <w:szCs w:val="21"/>
        </w:rPr>
      </w:pPr>
      <w:r w:rsidRPr="00403269">
        <w:rPr>
          <w:szCs w:val="21"/>
        </w:rPr>
        <w:t>Dr Rebecca Michael</w:t>
      </w:r>
    </w:p>
    <w:p w14:paraId="09AE863D" w14:textId="77777777" w:rsidR="002E5B15" w:rsidRPr="00403269" w:rsidRDefault="002E5B15" w:rsidP="002E5B15">
      <w:pPr>
        <w:spacing w:before="120" w:after="120"/>
        <w:rPr>
          <w:sz w:val="21"/>
          <w:szCs w:val="21"/>
        </w:rPr>
      </w:pPr>
      <w:r w:rsidRPr="00403269">
        <w:rPr>
          <w:sz w:val="21"/>
          <w:szCs w:val="21"/>
        </w:rPr>
        <w:t>Head of Public Policy RACQ</w:t>
      </w:r>
    </w:p>
    <w:p w14:paraId="07608172" w14:textId="77777777" w:rsidR="002E5B15" w:rsidRPr="00403269" w:rsidRDefault="002E5B15" w:rsidP="002E5B15">
      <w:pPr>
        <w:spacing w:before="120" w:after="120"/>
        <w:rPr>
          <w:sz w:val="21"/>
          <w:szCs w:val="21"/>
        </w:rPr>
      </w:pPr>
      <w:r w:rsidRPr="00403269">
        <w:rPr>
          <w:sz w:val="21"/>
          <w:szCs w:val="21"/>
        </w:rPr>
        <w:t>T</w:t>
      </w:r>
      <w:proofErr w:type="gramStart"/>
      <w:r w:rsidRPr="00403269">
        <w:rPr>
          <w:sz w:val="21"/>
          <w:szCs w:val="21"/>
        </w:rPr>
        <w:t>:  (</w:t>
      </w:r>
      <w:proofErr w:type="gramEnd"/>
      <w:r w:rsidRPr="00403269">
        <w:rPr>
          <w:sz w:val="21"/>
          <w:szCs w:val="21"/>
        </w:rPr>
        <w:t xml:space="preserve">07) 3872 8650 </w:t>
      </w:r>
    </w:p>
    <w:p w14:paraId="1C529722" w14:textId="77777777" w:rsidR="002E5B15" w:rsidRPr="00403269" w:rsidRDefault="002E5B15" w:rsidP="002E5B15">
      <w:pPr>
        <w:spacing w:before="120" w:after="120"/>
        <w:rPr>
          <w:sz w:val="21"/>
          <w:szCs w:val="21"/>
        </w:rPr>
      </w:pPr>
      <w:r w:rsidRPr="00403269">
        <w:rPr>
          <w:sz w:val="21"/>
          <w:szCs w:val="21"/>
        </w:rPr>
        <w:t>E:  Rebecca.Michael@racq.com.au</w:t>
      </w:r>
    </w:p>
    <w:p w14:paraId="277CA6FB" w14:textId="77777777" w:rsidR="00403269" w:rsidRPr="002E4410" w:rsidRDefault="00403269" w:rsidP="0087285C">
      <w:pPr>
        <w:pStyle w:val="ListParagraph"/>
        <w:numPr>
          <w:ilvl w:val="0"/>
          <w:numId w:val="31"/>
        </w:numPr>
        <w:jc w:val="both"/>
        <w:rPr>
          <w:rFonts w:eastAsiaTheme="majorEastAsia"/>
          <w:color w:val="365F91" w:themeColor="accent1" w:themeShade="BF"/>
        </w:rPr>
      </w:pPr>
      <w:r w:rsidRPr="002E4410">
        <w:rPr>
          <w:rFonts w:eastAsiaTheme="majorEastAsia"/>
          <w:color w:val="365F91" w:themeColor="accent1" w:themeShade="BF"/>
        </w:rPr>
        <w:lastRenderedPageBreak/>
        <w:t>Should the guidelines be updated to improve the management of trials (section 3 of the guidelines) and, if so, why? Consider in particular:</w:t>
      </w:r>
    </w:p>
    <w:p w14:paraId="741EA46D" w14:textId="77777777" w:rsidR="00403269" w:rsidRPr="002E4410" w:rsidRDefault="00403269" w:rsidP="0087285C">
      <w:pPr>
        <w:pStyle w:val="ListParagraph"/>
        <w:numPr>
          <w:ilvl w:val="0"/>
          <w:numId w:val="21"/>
        </w:numPr>
        <w:jc w:val="both"/>
        <w:rPr>
          <w:rFonts w:eastAsiaTheme="majorEastAsia"/>
          <w:color w:val="365F91" w:themeColor="accent1" w:themeShade="BF"/>
        </w:rPr>
      </w:pPr>
      <w:r w:rsidRPr="002E4410">
        <w:rPr>
          <w:rFonts w:eastAsiaTheme="majorEastAsia"/>
          <w:color w:val="365F91" w:themeColor="accent1" w:themeShade="BF"/>
        </w:rPr>
        <w:t>the standard of evidence required in a traffic management plan</w:t>
      </w:r>
    </w:p>
    <w:p w14:paraId="5696E11B" w14:textId="77777777" w:rsidR="00277058" w:rsidRPr="002E4410" w:rsidRDefault="00403269" w:rsidP="0087285C">
      <w:pPr>
        <w:pStyle w:val="ListParagraph"/>
        <w:numPr>
          <w:ilvl w:val="0"/>
          <w:numId w:val="21"/>
        </w:numPr>
        <w:jc w:val="both"/>
        <w:rPr>
          <w:rFonts w:eastAsiaTheme="majorEastAsia"/>
          <w:color w:val="365F91" w:themeColor="accent1" w:themeShade="BF"/>
        </w:rPr>
      </w:pPr>
      <w:r w:rsidRPr="002E4410">
        <w:rPr>
          <w:rFonts w:eastAsiaTheme="majorEastAsia"/>
          <w:color w:val="365F91" w:themeColor="accent1" w:themeShade="BF"/>
        </w:rPr>
        <w:t>the definition of ‘trial location’ (ODD/route/roads/maps)</w:t>
      </w:r>
    </w:p>
    <w:p w14:paraId="7546BE38" w14:textId="77777777" w:rsidR="00403269" w:rsidRPr="002E4410" w:rsidRDefault="00403269" w:rsidP="0087285C">
      <w:pPr>
        <w:pStyle w:val="ListParagraph"/>
        <w:numPr>
          <w:ilvl w:val="0"/>
          <w:numId w:val="21"/>
        </w:numPr>
        <w:jc w:val="both"/>
        <w:rPr>
          <w:rFonts w:eastAsiaTheme="majorEastAsia"/>
          <w:color w:val="365F91" w:themeColor="accent1" w:themeShade="BF"/>
        </w:rPr>
      </w:pPr>
      <w:r w:rsidRPr="002E4410">
        <w:rPr>
          <w:rFonts w:eastAsiaTheme="majorEastAsia"/>
          <w:color w:val="365F91" w:themeColor="accent1" w:themeShade="BF"/>
        </w:rPr>
        <w:t>the stakeholders trialling organisations should engage with</w:t>
      </w:r>
    </w:p>
    <w:p w14:paraId="35FC5C63" w14:textId="77777777" w:rsidR="00403269" w:rsidRPr="002E4410" w:rsidRDefault="00403269" w:rsidP="0087285C">
      <w:pPr>
        <w:pStyle w:val="ListParagraph"/>
        <w:numPr>
          <w:ilvl w:val="0"/>
          <w:numId w:val="21"/>
        </w:numPr>
        <w:jc w:val="both"/>
        <w:rPr>
          <w:rFonts w:eastAsiaTheme="majorEastAsia"/>
          <w:color w:val="365F91" w:themeColor="accent1" w:themeShade="BF"/>
        </w:rPr>
      </w:pPr>
      <w:r w:rsidRPr="002E4410">
        <w:rPr>
          <w:rFonts w:eastAsiaTheme="majorEastAsia"/>
          <w:color w:val="365F91" w:themeColor="accent1" w:themeShade="BF"/>
        </w:rPr>
        <w:t>the requirements to state the purpose of a trial</w:t>
      </w:r>
    </w:p>
    <w:p w14:paraId="2D710720" w14:textId="77777777" w:rsidR="00403269" w:rsidRPr="00403269" w:rsidRDefault="00403269" w:rsidP="00403269">
      <w:pPr>
        <w:pStyle w:val="ListParagraph"/>
        <w:ind w:left="774"/>
        <w:rPr>
          <w:rFonts w:asciiTheme="majorHAnsi" w:eastAsiaTheme="majorEastAsia" w:hAnsiTheme="majorHAnsi" w:cstheme="majorBidi"/>
          <w:i/>
          <w:iCs/>
          <w:color w:val="365F91" w:themeColor="accent1" w:themeShade="BF"/>
        </w:rPr>
      </w:pPr>
    </w:p>
    <w:p w14:paraId="642B2333" w14:textId="77777777" w:rsidR="001005EE" w:rsidRDefault="001005EE" w:rsidP="001005EE">
      <w:pPr>
        <w:jc w:val="both"/>
        <w:rPr>
          <w:b/>
          <w:bCs/>
        </w:rPr>
      </w:pPr>
      <w:r>
        <w:rPr>
          <w:b/>
          <w:bCs/>
        </w:rPr>
        <w:t>Standard of Evidence in a Traffic Management Plan</w:t>
      </w:r>
    </w:p>
    <w:p w14:paraId="65F24DCA" w14:textId="77777777" w:rsidR="001005EE" w:rsidRDefault="001005EE" w:rsidP="001005EE">
      <w:pPr>
        <w:jc w:val="both"/>
        <w:rPr>
          <w:sz w:val="21"/>
          <w:szCs w:val="21"/>
          <w:highlight w:val="red"/>
        </w:rPr>
      </w:pPr>
    </w:p>
    <w:p w14:paraId="2541D88A" w14:textId="47A1814A" w:rsidR="00521968" w:rsidRDefault="00521968" w:rsidP="001005EE">
      <w:pPr>
        <w:jc w:val="both"/>
        <w:rPr>
          <w:sz w:val="21"/>
          <w:szCs w:val="21"/>
        </w:rPr>
      </w:pPr>
      <w:r>
        <w:rPr>
          <w:sz w:val="21"/>
          <w:szCs w:val="21"/>
        </w:rPr>
        <w:t xml:space="preserve">For the Karragarra Island trial, the </w:t>
      </w:r>
      <w:r w:rsidR="00C95589">
        <w:rPr>
          <w:sz w:val="21"/>
          <w:szCs w:val="21"/>
        </w:rPr>
        <w:t xml:space="preserve">traffic management plan </w:t>
      </w:r>
      <w:r>
        <w:rPr>
          <w:sz w:val="21"/>
          <w:szCs w:val="21"/>
        </w:rPr>
        <w:t xml:space="preserve">functioned as an overarching </w:t>
      </w:r>
      <w:r w:rsidR="00C95589">
        <w:rPr>
          <w:sz w:val="21"/>
          <w:szCs w:val="21"/>
        </w:rPr>
        <w:t>implementation plan for all traffic management risk identification and mitigations.</w:t>
      </w:r>
      <w:r>
        <w:rPr>
          <w:sz w:val="21"/>
          <w:szCs w:val="21"/>
        </w:rPr>
        <w:t xml:space="preserve"> The difficulty with this requirement is that t</w:t>
      </w:r>
      <w:r w:rsidR="00C95589">
        <w:rPr>
          <w:sz w:val="21"/>
          <w:szCs w:val="21"/>
        </w:rPr>
        <w:t xml:space="preserve">raffic Management plans in Queensland must be signed off by a TMR accredited Traffic Management Designer, which can </w:t>
      </w:r>
      <w:r>
        <w:rPr>
          <w:sz w:val="21"/>
          <w:szCs w:val="21"/>
        </w:rPr>
        <w:t xml:space="preserve">result in significant additional costs as a specialist skill set is required to approve every amendment and review to the entire TMP. </w:t>
      </w:r>
      <w:proofErr w:type="gramStart"/>
      <w:r>
        <w:rPr>
          <w:sz w:val="21"/>
          <w:szCs w:val="21"/>
        </w:rPr>
        <w:t>Typically</w:t>
      </w:r>
      <w:proofErr w:type="gramEnd"/>
      <w:r>
        <w:rPr>
          <w:sz w:val="21"/>
          <w:szCs w:val="21"/>
        </w:rPr>
        <w:t xml:space="preserve"> TMPs are prepared for specific actions, such as</w:t>
      </w:r>
      <w:r w:rsidR="00C95589">
        <w:rPr>
          <w:sz w:val="21"/>
          <w:szCs w:val="21"/>
        </w:rPr>
        <w:t xml:space="preserve"> temporary road closures and</w:t>
      </w:r>
      <w:r>
        <w:rPr>
          <w:sz w:val="21"/>
          <w:szCs w:val="21"/>
        </w:rPr>
        <w:t xml:space="preserve"> installing</w:t>
      </w:r>
      <w:r w:rsidR="00C95589">
        <w:rPr>
          <w:sz w:val="21"/>
          <w:szCs w:val="21"/>
        </w:rPr>
        <w:t xml:space="preserve"> temporary traffic management devices. </w:t>
      </w:r>
      <w:r>
        <w:rPr>
          <w:sz w:val="21"/>
          <w:szCs w:val="21"/>
        </w:rPr>
        <w:t>In comparison,</w:t>
      </w:r>
      <w:r w:rsidR="00C95589">
        <w:rPr>
          <w:sz w:val="21"/>
          <w:szCs w:val="21"/>
        </w:rPr>
        <w:t xml:space="preserve"> AV trials </w:t>
      </w:r>
      <w:r>
        <w:rPr>
          <w:sz w:val="21"/>
          <w:szCs w:val="21"/>
        </w:rPr>
        <w:t xml:space="preserve">require long term measures across the deployment footprint, in this regard the guidelines could provide greater explanation or detail about </w:t>
      </w:r>
      <w:r w:rsidR="00C95589">
        <w:rPr>
          <w:sz w:val="21"/>
          <w:szCs w:val="21"/>
        </w:rPr>
        <w:t xml:space="preserve">the different accreditations and </w:t>
      </w:r>
      <w:r>
        <w:rPr>
          <w:sz w:val="21"/>
          <w:szCs w:val="21"/>
        </w:rPr>
        <w:t xml:space="preserve">greater clarity on the role and purpose of documentation during the permitting process. </w:t>
      </w:r>
    </w:p>
    <w:p w14:paraId="6A1CF4BB" w14:textId="77777777" w:rsidR="00521968" w:rsidRDefault="00521968" w:rsidP="001005EE">
      <w:pPr>
        <w:jc w:val="both"/>
        <w:rPr>
          <w:sz w:val="21"/>
          <w:szCs w:val="21"/>
        </w:rPr>
      </w:pPr>
    </w:p>
    <w:p w14:paraId="73E59886" w14:textId="75033D10" w:rsidR="00C95589" w:rsidRPr="001005EE" w:rsidRDefault="00521968" w:rsidP="001005EE">
      <w:pPr>
        <w:jc w:val="both"/>
        <w:rPr>
          <w:sz w:val="21"/>
          <w:szCs w:val="21"/>
        </w:rPr>
      </w:pPr>
      <w:r>
        <w:rPr>
          <w:sz w:val="21"/>
          <w:szCs w:val="21"/>
        </w:rPr>
        <w:t xml:space="preserve">For </w:t>
      </w:r>
      <w:proofErr w:type="gramStart"/>
      <w:r>
        <w:rPr>
          <w:sz w:val="21"/>
          <w:szCs w:val="21"/>
        </w:rPr>
        <w:t>example</w:t>
      </w:r>
      <w:proofErr w:type="gramEnd"/>
      <w:r>
        <w:rPr>
          <w:sz w:val="21"/>
          <w:szCs w:val="21"/>
        </w:rPr>
        <w:t xml:space="preserve"> a high level Traffic Management Plan showing intended measures to be implemented over a deployment footprint should be sufficient during permitting process and a more detailed TMP (signed by an accredited professional) be required prior to deployment. </w:t>
      </w:r>
    </w:p>
    <w:p w14:paraId="4A1950C7" w14:textId="77777777" w:rsidR="001005EE" w:rsidRDefault="001005EE" w:rsidP="001005EE">
      <w:pPr>
        <w:jc w:val="both"/>
        <w:rPr>
          <w:b/>
          <w:bCs/>
        </w:rPr>
      </w:pPr>
    </w:p>
    <w:p w14:paraId="483CC520" w14:textId="77777777" w:rsidR="00403269" w:rsidRPr="001005EE" w:rsidRDefault="001005EE" w:rsidP="00635C44">
      <w:pPr>
        <w:jc w:val="both"/>
        <w:rPr>
          <w:b/>
          <w:bCs/>
        </w:rPr>
      </w:pPr>
      <w:r w:rsidRPr="001005EE">
        <w:rPr>
          <w:b/>
          <w:bCs/>
        </w:rPr>
        <w:t>Definition of Trial Location</w:t>
      </w:r>
    </w:p>
    <w:p w14:paraId="26D84C5C" w14:textId="77777777" w:rsidR="00A60E81" w:rsidRDefault="00A60E81" w:rsidP="001005EE">
      <w:pPr>
        <w:jc w:val="both"/>
        <w:rPr>
          <w:sz w:val="21"/>
          <w:szCs w:val="21"/>
          <w:highlight w:val="red"/>
        </w:rPr>
      </w:pPr>
    </w:p>
    <w:p w14:paraId="66231098" w14:textId="120F225D" w:rsidR="00295D95" w:rsidRDefault="00A60E81" w:rsidP="001005EE">
      <w:pPr>
        <w:jc w:val="both"/>
        <w:rPr>
          <w:sz w:val="21"/>
          <w:szCs w:val="21"/>
        </w:rPr>
      </w:pPr>
      <w:r>
        <w:rPr>
          <w:sz w:val="21"/>
          <w:szCs w:val="21"/>
        </w:rPr>
        <w:t>The trialling organisations do not object to the suggestion to update the guidelines</w:t>
      </w:r>
      <w:r w:rsidR="00295D95" w:rsidRPr="00295D95">
        <w:rPr>
          <w:sz w:val="21"/>
          <w:szCs w:val="21"/>
        </w:rPr>
        <w:t xml:space="preserve"> to state</w:t>
      </w:r>
      <w:r>
        <w:rPr>
          <w:sz w:val="21"/>
          <w:szCs w:val="21"/>
        </w:rPr>
        <w:t xml:space="preserve"> </w:t>
      </w:r>
      <w:r w:rsidR="00295D95" w:rsidRPr="00295D95">
        <w:rPr>
          <w:sz w:val="21"/>
          <w:szCs w:val="21"/>
        </w:rPr>
        <w:t>that trial location could either be specific roads, routes or regions and/or the vehicle’s ODD</w:t>
      </w:r>
      <w:r w:rsidR="00295D95">
        <w:rPr>
          <w:sz w:val="21"/>
          <w:szCs w:val="21"/>
        </w:rPr>
        <w:t>.</w:t>
      </w:r>
      <w:r>
        <w:rPr>
          <w:sz w:val="21"/>
          <w:szCs w:val="21"/>
        </w:rPr>
        <w:t xml:space="preserve"> It should be noted that depending on the trial ODD, route or roads and relevant road owners, approvals may involve further engagement and approvals from private organisations (e.g. toll road operators, </w:t>
      </w:r>
      <w:proofErr w:type="gramStart"/>
      <w:r>
        <w:rPr>
          <w:sz w:val="21"/>
          <w:szCs w:val="21"/>
        </w:rPr>
        <w:t>land owners</w:t>
      </w:r>
      <w:proofErr w:type="gramEnd"/>
      <w:r>
        <w:rPr>
          <w:sz w:val="21"/>
          <w:szCs w:val="21"/>
        </w:rPr>
        <w:t>) or local councils.</w:t>
      </w:r>
    </w:p>
    <w:p w14:paraId="6A4088BC" w14:textId="77777777" w:rsidR="00295D95" w:rsidRPr="001005EE" w:rsidRDefault="00295D95" w:rsidP="001005EE">
      <w:pPr>
        <w:jc w:val="both"/>
        <w:rPr>
          <w:sz w:val="21"/>
          <w:szCs w:val="21"/>
        </w:rPr>
      </w:pPr>
    </w:p>
    <w:p w14:paraId="48CA7541" w14:textId="77777777" w:rsidR="001005EE" w:rsidRDefault="001005EE" w:rsidP="00635C44">
      <w:pPr>
        <w:jc w:val="both"/>
      </w:pPr>
    </w:p>
    <w:p w14:paraId="1A011A1A" w14:textId="77777777" w:rsidR="00403269" w:rsidRDefault="00403269" w:rsidP="00635C44">
      <w:pPr>
        <w:jc w:val="both"/>
        <w:rPr>
          <w:b/>
          <w:bCs/>
        </w:rPr>
      </w:pPr>
      <w:r>
        <w:rPr>
          <w:b/>
          <w:bCs/>
        </w:rPr>
        <w:t xml:space="preserve">Stakeholders and </w:t>
      </w:r>
      <w:r w:rsidR="009D011F">
        <w:rPr>
          <w:b/>
          <w:bCs/>
        </w:rPr>
        <w:t>E</w:t>
      </w:r>
      <w:r>
        <w:rPr>
          <w:b/>
          <w:bCs/>
        </w:rPr>
        <w:t>ngagement</w:t>
      </w:r>
    </w:p>
    <w:p w14:paraId="375328F8" w14:textId="77777777" w:rsidR="00403269" w:rsidRDefault="00403269" w:rsidP="00635C44">
      <w:pPr>
        <w:jc w:val="both"/>
        <w:rPr>
          <w:b/>
          <w:bCs/>
        </w:rPr>
      </w:pPr>
    </w:p>
    <w:p w14:paraId="0C577D8D" w14:textId="6B524FFD" w:rsidR="00AC2A0D" w:rsidRDefault="00AC2A0D" w:rsidP="003C35E1">
      <w:pPr>
        <w:jc w:val="both"/>
        <w:rPr>
          <w:sz w:val="21"/>
          <w:szCs w:val="21"/>
        </w:rPr>
      </w:pPr>
      <w:r>
        <w:rPr>
          <w:sz w:val="21"/>
          <w:szCs w:val="21"/>
        </w:rPr>
        <w:t>The guidelines currently require the trialling organisation to set out how the</w:t>
      </w:r>
      <w:r w:rsidR="003C35E1">
        <w:rPr>
          <w:sz w:val="21"/>
          <w:szCs w:val="21"/>
        </w:rPr>
        <w:t>y</w:t>
      </w:r>
      <w:r>
        <w:rPr>
          <w:sz w:val="21"/>
          <w:szCs w:val="21"/>
        </w:rPr>
        <w:t xml:space="preserve"> intend to engage with other key stakeholders and the public. There is an important distinction between the guidelines and how </w:t>
      </w:r>
      <w:r w:rsidR="003C35E1">
        <w:rPr>
          <w:sz w:val="21"/>
          <w:szCs w:val="21"/>
        </w:rPr>
        <w:t>this aspect</w:t>
      </w:r>
      <w:r>
        <w:rPr>
          <w:sz w:val="21"/>
          <w:szCs w:val="21"/>
        </w:rPr>
        <w:t xml:space="preserve"> </w:t>
      </w:r>
      <w:r w:rsidR="00B60C37">
        <w:rPr>
          <w:sz w:val="21"/>
          <w:szCs w:val="21"/>
        </w:rPr>
        <w:t>wa</w:t>
      </w:r>
      <w:r>
        <w:rPr>
          <w:sz w:val="21"/>
          <w:szCs w:val="21"/>
        </w:rPr>
        <w:t>s implemented</w:t>
      </w:r>
      <w:r w:rsidR="00B60C37">
        <w:rPr>
          <w:sz w:val="21"/>
          <w:szCs w:val="21"/>
        </w:rPr>
        <w:t xml:space="preserve"> in the trial application</w:t>
      </w:r>
      <w:r>
        <w:rPr>
          <w:sz w:val="21"/>
          <w:szCs w:val="21"/>
        </w:rPr>
        <w:t>. Through the Karragarra trial, rather than implementing as per the guidelines and allowing the trialling organisations to set out their engagement intentions, the approving agency</w:t>
      </w:r>
      <w:r w:rsidR="00A60E81">
        <w:rPr>
          <w:sz w:val="21"/>
          <w:szCs w:val="21"/>
        </w:rPr>
        <w:t xml:space="preserve"> had an onerous level of oversight and embedded it as part of the permitting process when it should be a stand-alone element</w:t>
      </w:r>
      <w:r w:rsidR="00B60C37">
        <w:rPr>
          <w:sz w:val="21"/>
          <w:szCs w:val="21"/>
        </w:rPr>
        <w:t xml:space="preserve"> with the trialling organisations deciding the engagement approach</w:t>
      </w:r>
      <w:r>
        <w:rPr>
          <w:sz w:val="21"/>
          <w:szCs w:val="21"/>
        </w:rPr>
        <w:t>.</w:t>
      </w:r>
      <w:r w:rsidR="00B60C37">
        <w:rPr>
          <w:sz w:val="21"/>
          <w:szCs w:val="21"/>
        </w:rPr>
        <w:t xml:space="preserve"> </w:t>
      </w:r>
      <w:r w:rsidR="00295D95" w:rsidRPr="00403269">
        <w:rPr>
          <w:sz w:val="21"/>
          <w:szCs w:val="21"/>
        </w:rPr>
        <w:t>The guidelines</w:t>
      </w:r>
      <w:r w:rsidR="003C35E1">
        <w:rPr>
          <w:sz w:val="21"/>
          <w:szCs w:val="21"/>
        </w:rPr>
        <w:t xml:space="preserve"> and agencies</w:t>
      </w:r>
      <w:r w:rsidR="00295D95" w:rsidRPr="00403269">
        <w:rPr>
          <w:sz w:val="21"/>
          <w:szCs w:val="21"/>
        </w:rPr>
        <w:t xml:space="preserve"> should not dictate how trialling organisations are required to engage with stakeholders or member</w:t>
      </w:r>
      <w:r>
        <w:rPr>
          <w:sz w:val="21"/>
          <w:szCs w:val="21"/>
        </w:rPr>
        <w:t>s</w:t>
      </w:r>
      <w:r w:rsidR="00295D95" w:rsidRPr="00403269">
        <w:rPr>
          <w:sz w:val="21"/>
          <w:szCs w:val="21"/>
        </w:rPr>
        <w:t xml:space="preserve"> of the public. </w:t>
      </w:r>
    </w:p>
    <w:p w14:paraId="13783A54" w14:textId="77777777" w:rsidR="00AC2A0D" w:rsidRDefault="00AC2A0D" w:rsidP="00295D95">
      <w:pPr>
        <w:rPr>
          <w:sz w:val="21"/>
          <w:szCs w:val="21"/>
        </w:rPr>
      </w:pPr>
    </w:p>
    <w:p w14:paraId="4DB8A15E" w14:textId="77777777" w:rsidR="0003073D" w:rsidRDefault="00AC2A0D" w:rsidP="0003073D">
      <w:pPr>
        <w:autoSpaceDE/>
        <w:autoSpaceDN/>
        <w:adjustRightInd/>
        <w:spacing w:after="160" w:line="259" w:lineRule="auto"/>
        <w:jc w:val="both"/>
        <w:rPr>
          <w:sz w:val="21"/>
          <w:szCs w:val="21"/>
        </w:rPr>
      </w:pPr>
      <w:r>
        <w:rPr>
          <w:sz w:val="21"/>
          <w:szCs w:val="21"/>
        </w:rPr>
        <w:t xml:space="preserve">Regarding the NTC’s suggestion that engagement with enforcement agencies be specified in the guidelines, this </w:t>
      </w:r>
      <w:r w:rsidRPr="00295D95">
        <w:rPr>
          <w:sz w:val="21"/>
          <w:szCs w:val="21"/>
        </w:rPr>
        <w:t xml:space="preserve">should be part of the approval process (i.e. permitting) and </w:t>
      </w:r>
      <w:r>
        <w:rPr>
          <w:sz w:val="21"/>
          <w:szCs w:val="21"/>
        </w:rPr>
        <w:t>despite not being referenced in the guidelines</w:t>
      </w:r>
      <w:r w:rsidR="003C35E1">
        <w:rPr>
          <w:sz w:val="21"/>
          <w:szCs w:val="21"/>
        </w:rPr>
        <w:t>, for a trial on public roads this</w:t>
      </w:r>
      <w:r w:rsidRPr="00295D95">
        <w:rPr>
          <w:sz w:val="21"/>
          <w:szCs w:val="21"/>
        </w:rPr>
        <w:t xml:space="preserve"> currently requires engagement</w:t>
      </w:r>
      <w:r w:rsidR="003C35E1">
        <w:rPr>
          <w:sz w:val="21"/>
          <w:szCs w:val="21"/>
        </w:rPr>
        <w:t xml:space="preserve"> with enforcement agencies</w:t>
      </w:r>
      <w:r w:rsidRPr="00295D95">
        <w:rPr>
          <w:sz w:val="21"/>
          <w:szCs w:val="21"/>
        </w:rPr>
        <w:t xml:space="preserve"> (as discussed below). The guidelines should indicate the type of additional permits or approvals required from agencies other than road authorities.</w:t>
      </w:r>
      <w:r>
        <w:rPr>
          <w:sz w:val="21"/>
          <w:szCs w:val="21"/>
        </w:rPr>
        <w:t xml:space="preserve"> The permitting is</w:t>
      </w:r>
      <w:r w:rsidR="00295D95" w:rsidRPr="00403269">
        <w:rPr>
          <w:sz w:val="21"/>
          <w:szCs w:val="21"/>
        </w:rPr>
        <w:t xml:space="preserve"> one component of the project and the operational aspects</w:t>
      </w:r>
      <w:r>
        <w:rPr>
          <w:sz w:val="21"/>
          <w:szCs w:val="21"/>
        </w:rPr>
        <w:t xml:space="preserve"> </w:t>
      </w:r>
      <w:r w:rsidR="00295D95" w:rsidRPr="00403269">
        <w:rPr>
          <w:sz w:val="21"/>
          <w:szCs w:val="21"/>
        </w:rPr>
        <w:t>of the trial</w:t>
      </w:r>
      <w:r>
        <w:rPr>
          <w:sz w:val="21"/>
          <w:szCs w:val="21"/>
        </w:rPr>
        <w:t xml:space="preserve"> such as broader stakeholder/public engagement</w:t>
      </w:r>
      <w:r w:rsidR="00295D95" w:rsidRPr="00403269">
        <w:rPr>
          <w:sz w:val="21"/>
          <w:szCs w:val="21"/>
        </w:rPr>
        <w:t xml:space="preserve"> should be left to the trialling organisations to manage. </w:t>
      </w:r>
      <w:r w:rsidR="00B60C37">
        <w:rPr>
          <w:sz w:val="21"/>
          <w:szCs w:val="21"/>
        </w:rPr>
        <w:t>Additionally, police involvement may vary depending on whether the trial is located on public or private road-space/land. A table in the guidelines showing possible stakeholders and approval requirements could help to communicate this aspect in a simple and easy to interpret manner.</w:t>
      </w:r>
    </w:p>
    <w:p w14:paraId="659F8AB8" w14:textId="77777777" w:rsidR="0003073D" w:rsidRDefault="0003073D" w:rsidP="0003073D">
      <w:pPr>
        <w:autoSpaceDE/>
        <w:autoSpaceDN/>
        <w:adjustRightInd/>
        <w:spacing w:after="160" w:line="259" w:lineRule="auto"/>
        <w:jc w:val="both"/>
        <w:rPr>
          <w:sz w:val="21"/>
          <w:szCs w:val="21"/>
        </w:rPr>
      </w:pPr>
    </w:p>
    <w:p w14:paraId="071CA689" w14:textId="77777777" w:rsidR="0003073D" w:rsidRDefault="0003073D" w:rsidP="0003073D">
      <w:pPr>
        <w:autoSpaceDE/>
        <w:autoSpaceDN/>
        <w:adjustRightInd/>
        <w:spacing w:after="160" w:line="259" w:lineRule="auto"/>
        <w:jc w:val="both"/>
        <w:rPr>
          <w:sz w:val="21"/>
          <w:szCs w:val="21"/>
        </w:rPr>
      </w:pPr>
    </w:p>
    <w:p w14:paraId="51D92EF9" w14:textId="3499B0B4" w:rsidR="00521968" w:rsidRDefault="00403269" w:rsidP="0003073D">
      <w:pPr>
        <w:autoSpaceDE/>
        <w:autoSpaceDN/>
        <w:adjustRightInd/>
        <w:spacing w:after="160" w:line="259" w:lineRule="auto"/>
        <w:jc w:val="both"/>
        <w:rPr>
          <w:sz w:val="21"/>
          <w:szCs w:val="21"/>
        </w:rPr>
      </w:pPr>
      <w:r w:rsidRPr="00295D95">
        <w:rPr>
          <w:sz w:val="21"/>
          <w:szCs w:val="21"/>
        </w:rPr>
        <w:lastRenderedPageBreak/>
        <w:t xml:space="preserve">In relation to the Karragarra trial, the Queensland Department of Transport and Main Roads (TMR) advised the requirement for early engagement with the Queensland Police Service (QPS). While the permit did not explicitly state that a QPS permit was required, the shuttles failure to comply with Australian Design Rules meant it had to be registered as part of the </w:t>
      </w:r>
      <w:hyperlink r:id="rId9" w:history="1">
        <w:r w:rsidRPr="00295D95">
          <w:rPr>
            <w:sz w:val="21"/>
            <w:szCs w:val="21"/>
          </w:rPr>
          <w:t>Conditional Registration Scheme</w:t>
        </w:r>
      </w:hyperlink>
      <w:r w:rsidRPr="00295D95">
        <w:rPr>
          <w:sz w:val="21"/>
          <w:szCs w:val="21"/>
        </w:rPr>
        <w:t xml:space="preserve"> (CRS) (as a people mover).</w:t>
      </w:r>
    </w:p>
    <w:p w14:paraId="59ACC4EE" w14:textId="77777777" w:rsidR="00403269" w:rsidRPr="00295D95" w:rsidRDefault="00403269" w:rsidP="003C35E1">
      <w:pPr>
        <w:autoSpaceDE/>
        <w:autoSpaceDN/>
        <w:adjustRightInd/>
        <w:spacing w:after="160" w:line="259" w:lineRule="auto"/>
        <w:jc w:val="both"/>
        <w:rPr>
          <w:sz w:val="21"/>
          <w:szCs w:val="21"/>
        </w:rPr>
      </w:pPr>
      <w:r w:rsidRPr="00295D95">
        <w:rPr>
          <w:sz w:val="21"/>
          <w:szCs w:val="21"/>
        </w:rPr>
        <w:t xml:space="preserve">The benefit of conditional registration is that the vehicle would receive number plates, which contributes significantly to legitimising its place in the road environment. The vehicle would also receive a policy of Compulsory Third Party (CTP) insurance. </w:t>
      </w:r>
    </w:p>
    <w:p w14:paraId="540BB7C6" w14:textId="77777777" w:rsidR="00403269" w:rsidRPr="00295D95" w:rsidRDefault="00403269" w:rsidP="003C35E1">
      <w:pPr>
        <w:autoSpaceDE/>
        <w:autoSpaceDN/>
        <w:adjustRightInd/>
        <w:spacing w:line="259" w:lineRule="auto"/>
        <w:jc w:val="both"/>
        <w:rPr>
          <w:sz w:val="21"/>
          <w:szCs w:val="21"/>
        </w:rPr>
      </w:pPr>
      <w:r w:rsidRPr="00295D95">
        <w:rPr>
          <w:sz w:val="21"/>
          <w:szCs w:val="21"/>
        </w:rPr>
        <w:t>For the shuttle to be part of the CRS, it needed comply with all conditions relevant to the vehicle type. In the case of a People Mover, access to the road would be limited to three conditions:</w:t>
      </w:r>
    </w:p>
    <w:p w14:paraId="6096148C" w14:textId="77777777" w:rsidR="00403269" w:rsidRPr="00403269" w:rsidRDefault="00403269" w:rsidP="003C35E1">
      <w:pPr>
        <w:pStyle w:val="xmsolistparagraph"/>
        <w:numPr>
          <w:ilvl w:val="0"/>
          <w:numId w:val="23"/>
        </w:numPr>
        <w:jc w:val="both"/>
        <w:rPr>
          <w:rFonts w:ascii="Arial" w:hAnsi="Arial" w:cs="Arial"/>
          <w:sz w:val="21"/>
          <w:szCs w:val="21"/>
          <w:lang w:eastAsia="en-US"/>
        </w:rPr>
      </w:pPr>
      <w:r w:rsidRPr="00403269">
        <w:rPr>
          <w:rFonts w:ascii="Arial" w:hAnsi="Arial" w:cs="Arial"/>
          <w:sz w:val="21"/>
          <w:szCs w:val="21"/>
          <w:lang w:eastAsia="en-US"/>
        </w:rPr>
        <w:t>LO3 – vehicle use restricted to within a designated area with landowner approval (Karragarra Island as a whole is not a designated area</w:t>
      </w:r>
      <w:proofErr w:type="gramStart"/>
      <w:r w:rsidRPr="00403269">
        <w:rPr>
          <w:rFonts w:ascii="Arial" w:hAnsi="Arial" w:cs="Arial"/>
          <w:sz w:val="21"/>
          <w:szCs w:val="21"/>
          <w:lang w:eastAsia="en-US"/>
        </w:rPr>
        <w:t>);</w:t>
      </w:r>
      <w:proofErr w:type="gramEnd"/>
    </w:p>
    <w:p w14:paraId="789F3518" w14:textId="77777777" w:rsidR="00403269" w:rsidRPr="00403269" w:rsidRDefault="00403269" w:rsidP="003C35E1">
      <w:pPr>
        <w:pStyle w:val="xmsolistparagraph"/>
        <w:numPr>
          <w:ilvl w:val="0"/>
          <w:numId w:val="23"/>
        </w:numPr>
        <w:jc w:val="both"/>
        <w:rPr>
          <w:rFonts w:ascii="Arial" w:hAnsi="Arial" w:cs="Arial"/>
          <w:sz w:val="21"/>
          <w:szCs w:val="21"/>
          <w:lang w:eastAsia="en-US"/>
        </w:rPr>
      </w:pPr>
      <w:r w:rsidRPr="00403269">
        <w:rPr>
          <w:rFonts w:ascii="Arial" w:hAnsi="Arial" w:cs="Arial"/>
          <w:sz w:val="21"/>
          <w:szCs w:val="21"/>
          <w:lang w:eastAsia="en-US"/>
        </w:rPr>
        <w:t xml:space="preserve">LO6A – vehicle use restricted to within a designated route with </w:t>
      </w:r>
      <w:r w:rsidRPr="00403269">
        <w:rPr>
          <w:rFonts w:ascii="Arial" w:hAnsi="Arial" w:cs="Arial"/>
          <w:b/>
          <w:bCs/>
          <w:sz w:val="21"/>
          <w:szCs w:val="21"/>
          <w:lang w:eastAsia="en-US"/>
        </w:rPr>
        <w:t>road owner and police approval</w:t>
      </w:r>
      <w:r w:rsidRPr="00403269">
        <w:rPr>
          <w:rFonts w:ascii="Arial" w:hAnsi="Arial" w:cs="Arial"/>
          <w:sz w:val="21"/>
          <w:szCs w:val="21"/>
          <w:lang w:eastAsia="en-US"/>
        </w:rPr>
        <w:t>; and</w:t>
      </w:r>
    </w:p>
    <w:p w14:paraId="0EC4CBB0" w14:textId="77777777" w:rsidR="00403269" w:rsidRPr="00403269" w:rsidRDefault="00403269" w:rsidP="003C35E1">
      <w:pPr>
        <w:pStyle w:val="xmsolistparagraph"/>
        <w:numPr>
          <w:ilvl w:val="0"/>
          <w:numId w:val="23"/>
        </w:numPr>
        <w:spacing w:after="240"/>
        <w:jc w:val="both"/>
        <w:rPr>
          <w:rFonts w:ascii="Arial" w:hAnsi="Arial" w:cs="Arial"/>
          <w:sz w:val="21"/>
          <w:szCs w:val="21"/>
          <w:lang w:eastAsia="en-US"/>
        </w:rPr>
      </w:pPr>
      <w:r w:rsidRPr="00403269">
        <w:rPr>
          <w:rFonts w:ascii="Arial" w:hAnsi="Arial" w:cs="Arial"/>
          <w:sz w:val="21"/>
          <w:szCs w:val="21"/>
          <w:lang w:eastAsia="en-US"/>
        </w:rPr>
        <w:t>LO7 – vehicle use restricted to loading and unloading (from another vehicle or trailer) only, with a maximum use on road of up to 100m.</w:t>
      </w:r>
    </w:p>
    <w:p w14:paraId="2EC6DD0E" w14:textId="77777777" w:rsidR="00403269" w:rsidRPr="00295D95" w:rsidRDefault="00403269" w:rsidP="00DA6F98">
      <w:pPr>
        <w:autoSpaceDE/>
        <w:autoSpaceDN/>
        <w:adjustRightInd/>
        <w:spacing w:after="160" w:line="259" w:lineRule="auto"/>
        <w:jc w:val="both"/>
        <w:rPr>
          <w:sz w:val="21"/>
          <w:szCs w:val="21"/>
        </w:rPr>
      </w:pPr>
      <w:r w:rsidRPr="00295D95">
        <w:rPr>
          <w:sz w:val="21"/>
          <w:szCs w:val="21"/>
        </w:rPr>
        <w:t xml:space="preserve">Despite engaging with the local QPS early in the process, the application for a general police permit was initially rejected on the basis that the vehicle wasn’t registered and advice from QPS was that a permit would also be required from the National Heavy Vehicle Regulator. A circular problem was realised, as the conditional permit from TMR required </w:t>
      </w:r>
      <w:proofErr w:type="gramStart"/>
      <w:r w:rsidRPr="00295D95">
        <w:rPr>
          <w:sz w:val="21"/>
          <w:szCs w:val="21"/>
        </w:rPr>
        <w:t>an approved police</w:t>
      </w:r>
      <w:proofErr w:type="gramEnd"/>
      <w:r w:rsidRPr="00295D95">
        <w:rPr>
          <w:sz w:val="21"/>
          <w:szCs w:val="21"/>
        </w:rPr>
        <w:t xml:space="preserve"> permit before the vehicle could be registered. This misalignment in TMR and QPS’ requirements delayed the project and could have been avoided if the permit guidelines included both a requirement to engage with police as well as a list of responsibilities and evaluation and approval frameworks for all regulating bodies (police, road manager and approving jurisdiction) involved in the permit process.</w:t>
      </w:r>
    </w:p>
    <w:p w14:paraId="1E1B2BD1" w14:textId="77777777" w:rsidR="00403269" w:rsidRDefault="00403269" w:rsidP="00635C44">
      <w:pPr>
        <w:jc w:val="both"/>
        <w:rPr>
          <w:b/>
          <w:bCs/>
        </w:rPr>
      </w:pPr>
    </w:p>
    <w:p w14:paraId="136CC094" w14:textId="77777777" w:rsidR="001005EE" w:rsidRDefault="001005EE" w:rsidP="001005EE">
      <w:pPr>
        <w:jc w:val="both"/>
        <w:rPr>
          <w:b/>
          <w:bCs/>
        </w:rPr>
      </w:pPr>
      <w:r>
        <w:rPr>
          <w:b/>
          <w:bCs/>
        </w:rPr>
        <w:t>Requirement to State the Purpose of a Trial</w:t>
      </w:r>
    </w:p>
    <w:p w14:paraId="4E24A476" w14:textId="77777777" w:rsidR="001005EE" w:rsidRDefault="001005EE" w:rsidP="001005EE">
      <w:pPr>
        <w:jc w:val="both"/>
        <w:rPr>
          <w:b/>
          <w:bCs/>
        </w:rPr>
      </w:pPr>
    </w:p>
    <w:p w14:paraId="6EC633A2" w14:textId="184A8DE5" w:rsidR="00403269" w:rsidRDefault="001005EE" w:rsidP="00295D95">
      <w:pPr>
        <w:jc w:val="both"/>
        <w:rPr>
          <w:sz w:val="21"/>
          <w:szCs w:val="21"/>
        </w:rPr>
      </w:pPr>
      <w:r>
        <w:rPr>
          <w:sz w:val="21"/>
          <w:szCs w:val="21"/>
        </w:rPr>
        <w:t xml:space="preserve">The suggested change to </w:t>
      </w:r>
      <w:r w:rsidRPr="001005EE">
        <w:rPr>
          <w:sz w:val="21"/>
          <w:szCs w:val="21"/>
        </w:rPr>
        <w:t>add a requirement</w:t>
      </w:r>
      <w:r>
        <w:rPr>
          <w:sz w:val="21"/>
          <w:szCs w:val="21"/>
        </w:rPr>
        <w:t xml:space="preserve"> in the guidelines</w:t>
      </w:r>
      <w:r w:rsidRPr="001005EE">
        <w:rPr>
          <w:sz w:val="21"/>
          <w:szCs w:val="21"/>
        </w:rPr>
        <w:t xml:space="preserve"> for trialling organisations to explain</w:t>
      </w:r>
      <w:r>
        <w:rPr>
          <w:sz w:val="21"/>
          <w:szCs w:val="21"/>
        </w:rPr>
        <w:t xml:space="preserve"> </w:t>
      </w:r>
      <w:r w:rsidRPr="001005EE">
        <w:rPr>
          <w:sz w:val="21"/>
          <w:szCs w:val="21"/>
        </w:rPr>
        <w:t>the purpose of their tria</w:t>
      </w:r>
      <w:r>
        <w:rPr>
          <w:sz w:val="21"/>
          <w:szCs w:val="21"/>
        </w:rPr>
        <w:t>l, is supported. This could assist trial operators</w:t>
      </w:r>
      <w:r w:rsidR="00295D95">
        <w:rPr>
          <w:sz w:val="21"/>
          <w:szCs w:val="21"/>
        </w:rPr>
        <w:t xml:space="preserve"> by allowing them to</w:t>
      </w:r>
      <w:r>
        <w:rPr>
          <w:sz w:val="21"/>
          <w:szCs w:val="21"/>
        </w:rPr>
        <w:t xml:space="preserve"> identify and learn from trials with a similar intent, and allow decision makers to ensure trials align with</w:t>
      </w:r>
      <w:r w:rsidR="00295D95">
        <w:rPr>
          <w:sz w:val="21"/>
          <w:szCs w:val="21"/>
        </w:rPr>
        <w:t xml:space="preserve"> their</w:t>
      </w:r>
      <w:r>
        <w:rPr>
          <w:sz w:val="21"/>
          <w:szCs w:val="21"/>
        </w:rPr>
        <w:t xml:space="preserve"> strategic intent for AV incorporation into the network, and also potentially provide additional advice to trialling organisations to improve alignment </w:t>
      </w:r>
      <w:r w:rsidR="00295D95">
        <w:rPr>
          <w:sz w:val="21"/>
          <w:szCs w:val="21"/>
        </w:rPr>
        <w:t>between the trial’s design and intended purpose/objectives</w:t>
      </w:r>
      <w:r>
        <w:rPr>
          <w:sz w:val="21"/>
          <w:szCs w:val="21"/>
        </w:rPr>
        <w:t>.</w:t>
      </w:r>
      <w:r w:rsidR="00295D95">
        <w:rPr>
          <w:sz w:val="21"/>
          <w:szCs w:val="21"/>
        </w:rPr>
        <w:t xml:space="preserve"> </w:t>
      </w:r>
    </w:p>
    <w:p w14:paraId="44B7B5DA" w14:textId="77777777" w:rsidR="00295D95" w:rsidRDefault="00295D95" w:rsidP="001005EE">
      <w:pPr>
        <w:jc w:val="both"/>
        <w:rPr>
          <w:sz w:val="21"/>
          <w:szCs w:val="21"/>
        </w:rPr>
      </w:pPr>
    </w:p>
    <w:p w14:paraId="56C84A87" w14:textId="77777777" w:rsidR="00295D95" w:rsidRPr="001005EE" w:rsidRDefault="00295D95" w:rsidP="001005EE">
      <w:pPr>
        <w:jc w:val="both"/>
        <w:rPr>
          <w:b/>
          <w:bCs/>
        </w:rPr>
      </w:pPr>
    </w:p>
    <w:p w14:paraId="5CE0112E" w14:textId="77777777" w:rsidR="00403269" w:rsidRPr="002E4410" w:rsidRDefault="00403269" w:rsidP="009D011F">
      <w:pPr>
        <w:pStyle w:val="ListParagraph"/>
        <w:numPr>
          <w:ilvl w:val="0"/>
          <w:numId w:val="31"/>
        </w:numPr>
        <w:jc w:val="both"/>
        <w:rPr>
          <w:rFonts w:eastAsiaTheme="majorEastAsia"/>
          <w:color w:val="365F91" w:themeColor="accent1" w:themeShade="BF"/>
        </w:rPr>
      </w:pPr>
      <w:r w:rsidRPr="002E4410">
        <w:rPr>
          <w:rFonts w:eastAsiaTheme="majorEastAsia"/>
          <w:color w:val="365F91" w:themeColor="accent1" w:themeShade="BF"/>
        </w:rPr>
        <w:t>Should the guidelines be updated to improve the safety management of trials (section 4 of the guidelines) and, if so, why? Consider in particular:</w:t>
      </w:r>
    </w:p>
    <w:p w14:paraId="1B000062" w14:textId="77777777" w:rsidR="00403269" w:rsidRPr="002E4410" w:rsidRDefault="00403269" w:rsidP="009D011F">
      <w:pPr>
        <w:pStyle w:val="ListParagraph"/>
        <w:numPr>
          <w:ilvl w:val="0"/>
          <w:numId w:val="22"/>
        </w:numPr>
        <w:jc w:val="both"/>
        <w:rPr>
          <w:rFonts w:eastAsiaTheme="majorEastAsia"/>
          <w:color w:val="365F91" w:themeColor="accent1" w:themeShade="BF"/>
        </w:rPr>
      </w:pPr>
      <w:r w:rsidRPr="002E4410">
        <w:rPr>
          <w:rFonts w:eastAsiaTheme="majorEastAsia"/>
          <w:color w:val="365F91" w:themeColor="accent1" w:themeShade="BF"/>
        </w:rPr>
        <w:t>the standard of evidence required</w:t>
      </w:r>
    </w:p>
    <w:p w14:paraId="6A1B6DF1" w14:textId="77777777" w:rsidR="00403269" w:rsidRPr="002E4410" w:rsidRDefault="00403269" w:rsidP="009D011F">
      <w:pPr>
        <w:pStyle w:val="ListParagraph"/>
        <w:numPr>
          <w:ilvl w:val="0"/>
          <w:numId w:val="22"/>
        </w:numPr>
        <w:jc w:val="both"/>
        <w:rPr>
          <w:rFonts w:eastAsiaTheme="majorEastAsia"/>
          <w:color w:val="365F91" w:themeColor="accent1" w:themeShade="BF"/>
        </w:rPr>
      </w:pPr>
      <w:r w:rsidRPr="002E4410">
        <w:rPr>
          <w:rFonts w:eastAsiaTheme="majorEastAsia"/>
          <w:color w:val="365F91" w:themeColor="accent1" w:themeShade="BF"/>
        </w:rPr>
        <w:t>human driver or operator inattention</w:t>
      </w:r>
    </w:p>
    <w:p w14:paraId="39559530" w14:textId="77777777" w:rsidR="00403269" w:rsidRPr="002E4410" w:rsidRDefault="00403269" w:rsidP="009D011F">
      <w:pPr>
        <w:pStyle w:val="ListParagraph"/>
        <w:numPr>
          <w:ilvl w:val="0"/>
          <w:numId w:val="22"/>
        </w:numPr>
        <w:jc w:val="both"/>
        <w:rPr>
          <w:rFonts w:eastAsiaTheme="majorEastAsia"/>
          <w:color w:val="365F91" w:themeColor="accent1" w:themeShade="BF"/>
        </w:rPr>
      </w:pPr>
      <w:r w:rsidRPr="002E4410">
        <w:rPr>
          <w:rFonts w:eastAsiaTheme="majorEastAsia"/>
          <w:color w:val="365F91" w:themeColor="accent1" w:themeShade="BF"/>
        </w:rPr>
        <w:t>road user behaviour that does not comply with road rules</w:t>
      </w:r>
    </w:p>
    <w:p w14:paraId="234915BA" w14:textId="77777777" w:rsidR="00403269" w:rsidRPr="002E4410" w:rsidRDefault="00403269" w:rsidP="009D011F">
      <w:pPr>
        <w:pStyle w:val="ListParagraph"/>
        <w:numPr>
          <w:ilvl w:val="0"/>
          <w:numId w:val="22"/>
        </w:numPr>
        <w:jc w:val="both"/>
        <w:rPr>
          <w:rFonts w:eastAsiaTheme="majorEastAsia"/>
          <w:color w:val="365F91" w:themeColor="accent1" w:themeShade="BF"/>
        </w:rPr>
      </w:pPr>
      <w:r w:rsidRPr="002E4410">
        <w:rPr>
          <w:rFonts w:eastAsiaTheme="majorEastAsia"/>
          <w:color w:val="365F91" w:themeColor="accent1" w:themeShade="BF"/>
        </w:rPr>
        <w:t>interaction with enforcement and emergency services</w:t>
      </w:r>
    </w:p>
    <w:p w14:paraId="45D33864" w14:textId="77777777" w:rsidR="00403269" w:rsidRPr="002E4410" w:rsidRDefault="00403269" w:rsidP="009D011F">
      <w:pPr>
        <w:pStyle w:val="ListParagraph"/>
        <w:numPr>
          <w:ilvl w:val="0"/>
          <w:numId w:val="22"/>
        </w:numPr>
        <w:jc w:val="both"/>
        <w:rPr>
          <w:rFonts w:eastAsiaTheme="majorEastAsia"/>
          <w:color w:val="365F91" w:themeColor="accent1" w:themeShade="BF"/>
        </w:rPr>
      </w:pPr>
      <w:r w:rsidRPr="002E4410">
        <w:rPr>
          <w:rFonts w:eastAsiaTheme="majorEastAsia"/>
          <w:color w:val="365F91" w:themeColor="accent1" w:themeShade="BF"/>
        </w:rPr>
        <w:t>pre-trial testing</w:t>
      </w:r>
    </w:p>
    <w:p w14:paraId="53273A88" w14:textId="77777777" w:rsidR="00403269" w:rsidRPr="002E4410" w:rsidRDefault="00403269" w:rsidP="009D011F">
      <w:pPr>
        <w:pStyle w:val="ListParagraph"/>
        <w:numPr>
          <w:ilvl w:val="0"/>
          <w:numId w:val="22"/>
        </w:numPr>
        <w:jc w:val="both"/>
        <w:rPr>
          <w:rFonts w:eastAsiaTheme="majorEastAsia"/>
          <w:color w:val="365F91" w:themeColor="accent1" w:themeShade="BF"/>
        </w:rPr>
      </w:pPr>
      <w:r w:rsidRPr="002E4410">
        <w:rPr>
          <w:rFonts w:eastAsiaTheme="majorEastAsia"/>
          <w:color w:val="365F91" w:themeColor="accent1" w:themeShade="BF"/>
        </w:rPr>
        <w:t>first-supply criteria (appendix A)</w:t>
      </w:r>
    </w:p>
    <w:p w14:paraId="22FD43F5" w14:textId="77777777" w:rsidR="00403269" w:rsidRDefault="00403269" w:rsidP="00403269">
      <w:pPr>
        <w:jc w:val="both"/>
        <w:rPr>
          <w:rFonts w:asciiTheme="majorHAnsi" w:eastAsiaTheme="majorEastAsia" w:hAnsiTheme="majorHAnsi" w:cstheme="majorBidi"/>
          <w:i/>
          <w:iCs/>
          <w:color w:val="365F91" w:themeColor="accent1" w:themeShade="BF"/>
        </w:rPr>
      </w:pPr>
    </w:p>
    <w:p w14:paraId="6924CB98" w14:textId="77777777" w:rsidR="00DA6F98" w:rsidRDefault="00DA6F98" w:rsidP="00403269">
      <w:pPr>
        <w:jc w:val="both"/>
        <w:rPr>
          <w:b/>
          <w:bCs/>
        </w:rPr>
      </w:pPr>
    </w:p>
    <w:p w14:paraId="43A36BE6" w14:textId="77777777" w:rsidR="00DA6F98" w:rsidRDefault="00DA6F98" w:rsidP="00DA6F98">
      <w:pPr>
        <w:jc w:val="both"/>
        <w:rPr>
          <w:b/>
          <w:bCs/>
        </w:rPr>
      </w:pPr>
      <w:r>
        <w:rPr>
          <w:b/>
          <w:bCs/>
        </w:rPr>
        <w:t>Standard of Evidence Required (Safety Management Plan)</w:t>
      </w:r>
    </w:p>
    <w:p w14:paraId="6F6F1CAF" w14:textId="77777777" w:rsidR="00DA6F98" w:rsidRDefault="00DA6F98" w:rsidP="00DA6F98">
      <w:pPr>
        <w:jc w:val="both"/>
        <w:rPr>
          <w:sz w:val="21"/>
          <w:szCs w:val="21"/>
          <w:highlight w:val="red"/>
        </w:rPr>
      </w:pPr>
    </w:p>
    <w:p w14:paraId="14AC6661" w14:textId="668EEF9D" w:rsidR="00DA6F98" w:rsidRDefault="0003073D" w:rsidP="00DA6F98">
      <w:pPr>
        <w:jc w:val="both"/>
        <w:rPr>
          <w:sz w:val="21"/>
          <w:szCs w:val="21"/>
        </w:rPr>
      </w:pPr>
      <w:r>
        <w:rPr>
          <w:sz w:val="21"/>
          <w:szCs w:val="21"/>
        </w:rPr>
        <w:t>Please see response to the traffic management plan question.</w:t>
      </w:r>
    </w:p>
    <w:p w14:paraId="1D03901E" w14:textId="77777777" w:rsidR="00DA6F98" w:rsidRDefault="00DA6F98" w:rsidP="00DA6F98">
      <w:pPr>
        <w:jc w:val="both"/>
        <w:rPr>
          <w:b/>
          <w:bCs/>
        </w:rPr>
      </w:pPr>
    </w:p>
    <w:p w14:paraId="2CBC9C00" w14:textId="77777777" w:rsidR="00DA6F98" w:rsidRDefault="00DA6F98" w:rsidP="00DA6F98">
      <w:pPr>
        <w:jc w:val="both"/>
        <w:rPr>
          <w:b/>
          <w:bCs/>
        </w:rPr>
      </w:pPr>
      <w:r>
        <w:rPr>
          <w:b/>
          <w:bCs/>
        </w:rPr>
        <w:t>Human Driver or Operator Inattention</w:t>
      </w:r>
    </w:p>
    <w:p w14:paraId="5AB98251" w14:textId="77777777" w:rsidR="00DA6F98" w:rsidRDefault="00DA6F98" w:rsidP="00DA6F98">
      <w:pPr>
        <w:jc w:val="both"/>
        <w:rPr>
          <w:b/>
          <w:bCs/>
        </w:rPr>
      </w:pPr>
    </w:p>
    <w:p w14:paraId="54809890" w14:textId="22805F2F" w:rsidR="005A1A42" w:rsidRDefault="00433064" w:rsidP="00403269">
      <w:pPr>
        <w:jc w:val="both"/>
        <w:rPr>
          <w:sz w:val="21"/>
          <w:szCs w:val="21"/>
        </w:rPr>
      </w:pPr>
      <w:r>
        <w:rPr>
          <w:sz w:val="21"/>
          <w:szCs w:val="21"/>
        </w:rPr>
        <w:t xml:space="preserve">The Karragarra Trial was undertaken as a public transport service which required operator accreditation and licensing consistent with the Queensland Government’s </w:t>
      </w:r>
      <w:r w:rsidRPr="00433064">
        <w:rPr>
          <w:i/>
          <w:iCs/>
          <w:sz w:val="21"/>
          <w:szCs w:val="21"/>
        </w:rPr>
        <w:t>Transport Operations (Passenger Transport) Act 1994</w:t>
      </w:r>
      <w:r>
        <w:rPr>
          <w:sz w:val="21"/>
          <w:szCs w:val="21"/>
        </w:rPr>
        <w:t>. As per the Department of Transport and Main Road’s information bulletin related to driver responsibilities (PT-307-09-18), ‘a</w:t>
      </w:r>
      <w:r w:rsidRPr="00433064">
        <w:rPr>
          <w:sz w:val="21"/>
          <w:szCs w:val="21"/>
        </w:rPr>
        <w:t>uthorised drivers must operate vehicles safely and be aware of their surroundings</w:t>
      </w:r>
      <w:r>
        <w:rPr>
          <w:sz w:val="21"/>
          <w:szCs w:val="21"/>
        </w:rPr>
        <w:t>’. Therefore, risks associated with human driver or operator inattention were managed through the training and certification of operators.</w:t>
      </w:r>
    </w:p>
    <w:p w14:paraId="31D051D0" w14:textId="1FDF53D5" w:rsidR="00433064" w:rsidRDefault="00433064" w:rsidP="00403269">
      <w:pPr>
        <w:jc w:val="both"/>
        <w:rPr>
          <w:sz w:val="21"/>
          <w:szCs w:val="21"/>
        </w:rPr>
      </w:pPr>
    </w:p>
    <w:p w14:paraId="559FDFDB" w14:textId="4FCCF091" w:rsidR="00433064" w:rsidRPr="00433064" w:rsidRDefault="00433064" w:rsidP="00403269">
      <w:pPr>
        <w:jc w:val="both"/>
        <w:rPr>
          <w:sz w:val="21"/>
          <w:szCs w:val="21"/>
          <w:highlight w:val="red"/>
        </w:rPr>
      </w:pPr>
      <w:r>
        <w:rPr>
          <w:sz w:val="21"/>
          <w:szCs w:val="21"/>
        </w:rPr>
        <w:t>For a considered response to this, the type of trial (e.g. public transport, rideshare, etc.) may dictate relevant applicable legislation in each jurisdiction which may already have this as a requirement. This should be evaluated to identify any gaps in potential trial applications and legislation requirements. Additionally, depending on the vehicle’s level of automation (level 3/conditional) this would be more of a risk compared to higher automated vehicles (level 4+) which should theoretically not require a driver/operator to intervene.</w:t>
      </w:r>
    </w:p>
    <w:p w14:paraId="42C4C71A" w14:textId="77777777" w:rsidR="005A1A42" w:rsidRDefault="005A1A42" w:rsidP="00403269">
      <w:pPr>
        <w:jc w:val="both"/>
        <w:rPr>
          <w:sz w:val="21"/>
          <w:szCs w:val="21"/>
          <w:highlight w:val="red"/>
        </w:rPr>
      </w:pPr>
    </w:p>
    <w:p w14:paraId="6D7C89E1" w14:textId="77777777" w:rsidR="00403269" w:rsidRDefault="00403269" w:rsidP="00403269">
      <w:pPr>
        <w:jc w:val="both"/>
        <w:rPr>
          <w:b/>
          <w:bCs/>
        </w:rPr>
      </w:pPr>
      <w:r>
        <w:rPr>
          <w:b/>
          <w:bCs/>
        </w:rPr>
        <w:t>Non-compliant Road User Behaviour</w:t>
      </w:r>
    </w:p>
    <w:p w14:paraId="5DC27872" w14:textId="77777777" w:rsidR="004A6EE0" w:rsidRDefault="004A6EE0" w:rsidP="004A6EE0">
      <w:pPr>
        <w:autoSpaceDE/>
        <w:autoSpaceDN/>
        <w:adjustRightInd/>
        <w:spacing w:after="160" w:line="259" w:lineRule="auto"/>
        <w:rPr>
          <w:sz w:val="21"/>
          <w:szCs w:val="21"/>
        </w:rPr>
      </w:pPr>
    </w:p>
    <w:p w14:paraId="08938310" w14:textId="1AA1C57B" w:rsidR="004A6EE0" w:rsidRDefault="004A6EE0" w:rsidP="004A6EE0">
      <w:pPr>
        <w:autoSpaceDE/>
        <w:autoSpaceDN/>
        <w:adjustRightInd/>
        <w:spacing w:after="160" w:line="259" w:lineRule="auto"/>
        <w:jc w:val="both"/>
        <w:rPr>
          <w:sz w:val="21"/>
          <w:szCs w:val="21"/>
        </w:rPr>
      </w:pPr>
      <w:r>
        <w:rPr>
          <w:sz w:val="21"/>
          <w:szCs w:val="21"/>
        </w:rPr>
        <w:t xml:space="preserve">The proposed change to the </w:t>
      </w:r>
      <w:r w:rsidRPr="004A6EE0">
        <w:rPr>
          <w:sz w:val="21"/>
          <w:szCs w:val="21"/>
        </w:rPr>
        <w:t>guidelines to explicitly require trialling organisations to</w:t>
      </w:r>
      <w:r>
        <w:rPr>
          <w:sz w:val="21"/>
          <w:szCs w:val="21"/>
        </w:rPr>
        <w:t xml:space="preserve"> </w:t>
      </w:r>
      <w:r w:rsidRPr="004A6EE0">
        <w:rPr>
          <w:sz w:val="21"/>
          <w:szCs w:val="21"/>
        </w:rPr>
        <w:t>consider</w:t>
      </w:r>
      <w:r>
        <w:rPr>
          <w:sz w:val="21"/>
          <w:szCs w:val="21"/>
        </w:rPr>
        <w:t xml:space="preserve"> </w:t>
      </w:r>
      <w:r w:rsidRPr="004A6EE0">
        <w:rPr>
          <w:sz w:val="21"/>
          <w:szCs w:val="21"/>
        </w:rPr>
        <w:t xml:space="preserve">unpredictable behaviour such as driver, </w:t>
      </w:r>
      <w:proofErr w:type="gramStart"/>
      <w:r w:rsidRPr="004A6EE0">
        <w:rPr>
          <w:sz w:val="21"/>
          <w:szCs w:val="21"/>
        </w:rPr>
        <w:t>rider</w:t>
      </w:r>
      <w:proofErr w:type="gramEnd"/>
      <w:r w:rsidRPr="004A6EE0">
        <w:rPr>
          <w:sz w:val="21"/>
          <w:szCs w:val="21"/>
        </w:rPr>
        <w:t xml:space="preserve"> and pedestrian noncompliance with</w:t>
      </w:r>
      <w:r>
        <w:rPr>
          <w:sz w:val="21"/>
          <w:szCs w:val="21"/>
        </w:rPr>
        <w:t xml:space="preserve"> </w:t>
      </w:r>
      <w:r w:rsidRPr="004A6EE0">
        <w:rPr>
          <w:sz w:val="21"/>
          <w:szCs w:val="21"/>
        </w:rPr>
        <w:t>the road rule</w:t>
      </w:r>
      <w:r>
        <w:rPr>
          <w:sz w:val="21"/>
          <w:szCs w:val="21"/>
        </w:rPr>
        <w:t xml:space="preserve">s, is not definitively supported. It could encourage an overly risk-averse response from the approving agencies if every theoretical scenario cannot be mitigated. </w:t>
      </w:r>
      <w:r w:rsidR="00E66BC3">
        <w:rPr>
          <w:sz w:val="21"/>
          <w:szCs w:val="21"/>
        </w:rPr>
        <w:t>Non-compliance</w:t>
      </w:r>
      <w:r>
        <w:rPr>
          <w:sz w:val="21"/>
          <w:szCs w:val="21"/>
        </w:rPr>
        <w:t xml:space="preserve"> risks are currently present for all human</w:t>
      </w:r>
      <w:r w:rsidR="00E66BC3">
        <w:rPr>
          <w:sz w:val="21"/>
          <w:szCs w:val="21"/>
        </w:rPr>
        <w:t xml:space="preserve">-driven </w:t>
      </w:r>
      <w:r>
        <w:rPr>
          <w:sz w:val="21"/>
          <w:szCs w:val="21"/>
        </w:rPr>
        <w:t>vehicles operating on the road network and are not always adequately managed by the road operators as treatments such as installing pedestrian fencing, segregated bike lanes, or other management infrastructure is cost prohibitive or not feasible in some environments. This</w:t>
      </w:r>
      <w:r w:rsidR="00E66BC3">
        <w:rPr>
          <w:sz w:val="21"/>
          <w:szCs w:val="21"/>
        </w:rPr>
        <w:t xml:space="preserve"> kind of evaluation</w:t>
      </w:r>
      <w:r>
        <w:rPr>
          <w:sz w:val="21"/>
          <w:szCs w:val="21"/>
        </w:rPr>
        <w:t xml:space="preserve"> may be more appropriate if operating </w:t>
      </w:r>
      <w:proofErr w:type="gramStart"/>
      <w:r>
        <w:rPr>
          <w:sz w:val="21"/>
          <w:szCs w:val="21"/>
        </w:rPr>
        <w:t>in particular areas</w:t>
      </w:r>
      <w:proofErr w:type="gramEnd"/>
      <w:r>
        <w:rPr>
          <w:sz w:val="21"/>
          <w:szCs w:val="21"/>
        </w:rPr>
        <w:t xml:space="preserve"> with high volumes of vulnerable road users (e.g. major cycle routes, school zones, shared zones, high pedestrian activity areas, etc.).</w:t>
      </w:r>
    </w:p>
    <w:p w14:paraId="1E17A188" w14:textId="1C1CDEF3" w:rsidR="00403269" w:rsidRPr="004A6EE0" w:rsidRDefault="004A6EE0" w:rsidP="00E66BC3">
      <w:pPr>
        <w:autoSpaceDE/>
        <w:autoSpaceDN/>
        <w:adjustRightInd/>
        <w:spacing w:after="160" w:line="259" w:lineRule="auto"/>
        <w:jc w:val="both"/>
        <w:rPr>
          <w:sz w:val="21"/>
          <w:szCs w:val="21"/>
        </w:rPr>
      </w:pPr>
      <w:r>
        <w:rPr>
          <w:sz w:val="21"/>
          <w:szCs w:val="21"/>
        </w:rPr>
        <w:t>This risk was adequately managed f</w:t>
      </w:r>
      <w:r w:rsidR="00403269" w:rsidRPr="004A6EE0">
        <w:rPr>
          <w:sz w:val="21"/>
          <w:szCs w:val="21"/>
        </w:rPr>
        <w:t>or the Karragarra trial</w:t>
      </w:r>
      <w:r>
        <w:rPr>
          <w:sz w:val="21"/>
          <w:szCs w:val="21"/>
        </w:rPr>
        <w:t xml:space="preserve"> as</w:t>
      </w:r>
      <w:r w:rsidR="00403269" w:rsidRPr="004A6EE0">
        <w:rPr>
          <w:sz w:val="21"/>
          <w:szCs w:val="21"/>
        </w:rPr>
        <w:t xml:space="preserve"> the behaviour of other road users</w:t>
      </w:r>
      <w:r w:rsidR="008101EE">
        <w:rPr>
          <w:sz w:val="21"/>
          <w:szCs w:val="21"/>
        </w:rPr>
        <w:t>,</w:t>
      </w:r>
      <w:r w:rsidR="00403269" w:rsidRPr="004A6EE0">
        <w:rPr>
          <w:sz w:val="21"/>
          <w:szCs w:val="21"/>
        </w:rPr>
        <w:t xml:space="preserve"> their </w:t>
      </w:r>
      <w:r w:rsidR="00403269" w:rsidRPr="004A6EE0">
        <w:rPr>
          <w:i/>
          <w:iCs/>
          <w:sz w:val="21"/>
          <w:szCs w:val="21"/>
        </w:rPr>
        <w:t>likely</w:t>
      </w:r>
      <w:r w:rsidR="00403269" w:rsidRPr="004A6EE0">
        <w:rPr>
          <w:sz w:val="21"/>
          <w:szCs w:val="21"/>
        </w:rPr>
        <w:t xml:space="preserve"> interaction with the trial </w:t>
      </w:r>
      <w:r w:rsidR="008101EE">
        <w:rPr>
          <w:sz w:val="21"/>
          <w:szCs w:val="21"/>
        </w:rPr>
        <w:t>vehicle, and incident management/risk mitigation measures,</w:t>
      </w:r>
      <w:r w:rsidR="00403269" w:rsidRPr="004A6EE0">
        <w:rPr>
          <w:sz w:val="21"/>
          <w:szCs w:val="21"/>
        </w:rPr>
        <w:t xml:space="preserve"> </w:t>
      </w:r>
      <w:r w:rsidR="008101EE">
        <w:rPr>
          <w:sz w:val="21"/>
          <w:szCs w:val="21"/>
        </w:rPr>
        <w:t>were</w:t>
      </w:r>
      <w:r w:rsidR="00403269" w:rsidRPr="004A6EE0">
        <w:rPr>
          <w:sz w:val="21"/>
          <w:szCs w:val="21"/>
        </w:rPr>
        <w:t xml:space="preserve"> detailed in both the Site Assessment Report, the Traffic Management Plan and the Operational Risk Assessment. </w:t>
      </w:r>
      <w:proofErr w:type="gramStart"/>
      <w:r w:rsidR="00403269" w:rsidRPr="004A6EE0">
        <w:rPr>
          <w:sz w:val="21"/>
          <w:szCs w:val="21"/>
        </w:rPr>
        <w:t>All of</w:t>
      </w:r>
      <w:proofErr w:type="gramEnd"/>
      <w:r w:rsidR="00403269" w:rsidRPr="004A6EE0">
        <w:rPr>
          <w:sz w:val="21"/>
          <w:szCs w:val="21"/>
        </w:rPr>
        <w:t xml:space="preserve"> these assessments were a requirement of the Queensland permit application process.</w:t>
      </w:r>
      <w:r w:rsidR="008101EE">
        <w:rPr>
          <w:sz w:val="21"/>
          <w:szCs w:val="21"/>
        </w:rPr>
        <w:t xml:space="preserve"> The impetus should be on the trialling organisation’s procedures and protocols to describe how they intend to operate in a safe and compliant manner.</w:t>
      </w:r>
    </w:p>
    <w:p w14:paraId="0B9C9209" w14:textId="77777777" w:rsidR="00403269" w:rsidRPr="00E66BC3" w:rsidRDefault="00403269" w:rsidP="00E66BC3">
      <w:pPr>
        <w:autoSpaceDE/>
        <w:autoSpaceDN/>
        <w:adjustRightInd/>
        <w:spacing w:after="160" w:line="259" w:lineRule="auto"/>
        <w:jc w:val="both"/>
        <w:rPr>
          <w:sz w:val="21"/>
          <w:szCs w:val="21"/>
        </w:rPr>
      </w:pPr>
      <w:r w:rsidRPr="00E66BC3">
        <w:rPr>
          <w:sz w:val="21"/>
          <w:szCs w:val="21"/>
        </w:rPr>
        <w:t>Throughout the trial, it was a condition of the permit that TMR were to be notified of any serious incident and provide a report within 7 days detailing the incident as well as what action was being taken to prevent similar incidents from occurring.</w:t>
      </w:r>
    </w:p>
    <w:p w14:paraId="109B1C85" w14:textId="77777777" w:rsidR="008F1AC1" w:rsidRDefault="008F1AC1" w:rsidP="008F1AC1">
      <w:pPr>
        <w:rPr>
          <w:b/>
          <w:bCs/>
        </w:rPr>
      </w:pPr>
    </w:p>
    <w:p w14:paraId="29A1C51A" w14:textId="77777777" w:rsidR="00403269" w:rsidRDefault="00403269" w:rsidP="008F1AC1">
      <w:r>
        <w:rPr>
          <w:b/>
          <w:bCs/>
        </w:rPr>
        <w:t>Interaction with Enforcement and Emergency Services</w:t>
      </w:r>
    </w:p>
    <w:p w14:paraId="3E13456C" w14:textId="77777777" w:rsidR="00E66BC3" w:rsidRDefault="00E66BC3" w:rsidP="00E66BC3"/>
    <w:p w14:paraId="045B04F3" w14:textId="7F324010" w:rsidR="00E66BC3" w:rsidRPr="00F8397D" w:rsidRDefault="00E66BC3" w:rsidP="00F8397D">
      <w:pPr>
        <w:jc w:val="both"/>
        <w:rPr>
          <w:rStyle w:val="fontstyle01"/>
          <w:rFonts w:ascii="Arial" w:hAnsi="Arial"/>
          <w:sz w:val="21"/>
          <w:szCs w:val="21"/>
        </w:rPr>
      </w:pPr>
      <w:r w:rsidRPr="00F8397D">
        <w:rPr>
          <w:sz w:val="21"/>
          <w:szCs w:val="21"/>
        </w:rPr>
        <w:t xml:space="preserve">The NTC’s suggestion to </w:t>
      </w:r>
      <w:r w:rsidRPr="00F8397D">
        <w:rPr>
          <w:rStyle w:val="fontstyle01"/>
          <w:rFonts w:ascii="Arial" w:hAnsi="Arial"/>
          <w:sz w:val="21"/>
          <w:szCs w:val="21"/>
        </w:rPr>
        <w:t>update the guidelines to reference interaction with enforcement and emergency services as part of the safety management plan, is supported only through the addition of the include a high-level requirement</w:t>
      </w:r>
      <w:r w:rsidR="00F8397D">
        <w:rPr>
          <w:rStyle w:val="fontstyle01"/>
          <w:rFonts w:ascii="Arial" w:hAnsi="Arial"/>
          <w:sz w:val="21"/>
          <w:szCs w:val="21"/>
        </w:rPr>
        <w:t xml:space="preserve"> where an operator/fall-back ready user is employed in all operations </w:t>
      </w:r>
      <w:r w:rsidRPr="00F8397D">
        <w:rPr>
          <w:rStyle w:val="fontstyle01"/>
          <w:rFonts w:ascii="Arial" w:hAnsi="Arial"/>
          <w:sz w:val="21"/>
          <w:szCs w:val="21"/>
        </w:rPr>
        <w:t>(e.g. require the trialling organisation ‘to consider interaction with</w:t>
      </w:r>
      <w:r w:rsidR="00F8397D">
        <w:rPr>
          <w:rStyle w:val="fontstyle01"/>
          <w:rFonts w:ascii="Arial" w:hAnsi="Arial"/>
          <w:sz w:val="21"/>
          <w:szCs w:val="21"/>
        </w:rPr>
        <w:t xml:space="preserve"> </w:t>
      </w:r>
      <w:r w:rsidRPr="00F8397D">
        <w:rPr>
          <w:rStyle w:val="fontstyle01"/>
          <w:rFonts w:ascii="Arial" w:hAnsi="Arial"/>
          <w:sz w:val="21"/>
          <w:szCs w:val="21"/>
        </w:rPr>
        <w:t>enforcement and emergency services on the road and at the roadside’).</w:t>
      </w:r>
    </w:p>
    <w:p w14:paraId="32D9810C" w14:textId="77777777" w:rsidR="00E66BC3" w:rsidRPr="00F8397D" w:rsidRDefault="00E66BC3" w:rsidP="00F8397D">
      <w:pPr>
        <w:jc w:val="both"/>
        <w:rPr>
          <w:rStyle w:val="fontstyle01"/>
          <w:rFonts w:ascii="Arial" w:hAnsi="Arial"/>
          <w:sz w:val="21"/>
          <w:szCs w:val="21"/>
        </w:rPr>
      </w:pPr>
    </w:p>
    <w:p w14:paraId="5D3867A0" w14:textId="77777777" w:rsidR="00E66BC3" w:rsidRPr="00F8397D" w:rsidRDefault="00E66BC3" w:rsidP="00F8397D">
      <w:pPr>
        <w:jc w:val="both"/>
        <w:rPr>
          <w:rStyle w:val="fontstyle01"/>
          <w:rFonts w:ascii="Arial" w:hAnsi="Arial"/>
          <w:sz w:val="21"/>
          <w:szCs w:val="21"/>
        </w:rPr>
      </w:pPr>
      <w:r w:rsidRPr="00F8397D">
        <w:rPr>
          <w:rStyle w:val="fontstyle01"/>
          <w:rFonts w:ascii="Arial" w:hAnsi="Arial"/>
          <w:sz w:val="21"/>
          <w:szCs w:val="21"/>
        </w:rPr>
        <w:t xml:space="preserve">The alternative suggestion to specify requirements for interaction (such as those contained in Figure 1 below) </w:t>
      </w:r>
      <w:r w:rsidR="00F8397D">
        <w:rPr>
          <w:rStyle w:val="fontstyle01"/>
          <w:rFonts w:ascii="Arial" w:hAnsi="Arial"/>
          <w:sz w:val="21"/>
          <w:szCs w:val="21"/>
        </w:rPr>
        <w:t>would be overly prescriptive in many trials,</w:t>
      </w:r>
      <w:r w:rsidRPr="00F8397D">
        <w:rPr>
          <w:rStyle w:val="fontstyle01"/>
          <w:rFonts w:ascii="Arial" w:hAnsi="Arial"/>
          <w:sz w:val="21"/>
          <w:szCs w:val="21"/>
        </w:rPr>
        <w:t xml:space="preserve"> and while the intention may be to more closely align with the first supply criteria, these criteria were designed for the ADSE to self-certify against. Inclusion in the guidelines may lead to these being scrutinised to a greater degree than a self-certification process, and additional</w:t>
      </w:r>
      <w:r w:rsidR="00F8397D">
        <w:rPr>
          <w:rStyle w:val="fontstyle01"/>
          <w:rFonts w:ascii="Arial" w:hAnsi="Arial"/>
          <w:sz w:val="21"/>
          <w:szCs w:val="21"/>
        </w:rPr>
        <w:t>ly</w:t>
      </w:r>
      <w:r w:rsidRPr="00F8397D">
        <w:rPr>
          <w:rStyle w:val="fontstyle01"/>
          <w:rFonts w:ascii="Arial" w:hAnsi="Arial"/>
          <w:sz w:val="21"/>
          <w:szCs w:val="21"/>
        </w:rPr>
        <w:t xml:space="preserve"> it is important to note that the trialling organisations will not in all cases be the ADSE</w:t>
      </w:r>
      <w:r w:rsidR="00F8397D" w:rsidRPr="00F8397D">
        <w:rPr>
          <w:rStyle w:val="fontstyle01"/>
          <w:rFonts w:ascii="Arial" w:hAnsi="Arial"/>
          <w:sz w:val="21"/>
          <w:szCs w:val="21"/>
        </w:rPr>
        <w:t xml:space="preserve"> and therefore it may be unreasonable</w:t>
      </w:r>
      <w:r w:rsidR="00F8397D">
        <w:rPr>
          <w:rStyle w:val="fontstyle01"/>
          <w:rFonts w:ascii="Arial" w:hAnsi="Arial"/>
          <w:sz w:val="21"/>
          <w:szCs w:val="21"/>
        </w:rPr>
        <w:t xml:space="preserve"> or onerous</w:t>
      </w:r>
      <w:r w:rsidR="00F8397D" w:rsidRPr="00F8397D">
        <w:rPr>
          <w:rStyle w:val="fontstyle01"/>
          <w:rFonts w:ascii="Arial" w:hAnsi="Arial"/>
          <w:sz w:val="21"/>
          <w:szCs w:val="21"/>
        </w:rPr>
        <w:t xml:space="preserve"> for them to </w:t>
      </w:r>
      <w:r w:rsidR="00F8397D">
        <w:rPr>
          <w:rStyle w:val="fontstyle01"/>
          <w:rFonts w:ascii="Arial" w:hAnsi="Arial"/>
          <w:sz w:val="21"/>
          <w:szCs w:val="21"/>
        </w:rPr>
        <w:t>respond</w:t>
      </w:r>
      <w:r w:rsidR="00F8397D" w:rsidRPr="00F8397D">
        <w:rPr>
          <w:rStyle w:val="fontstyle01"/>
          <w:rFonts w:ascii="Arial" w:hAnsi="Arial"/>
          <w:sz w:val="21"/>
          <w:szCs w:val="21"/>
        </w:rPr>
        <w:t xml:space="preserve"> </w:t>
      </w:r>
      <w:r w:rsidR="00F8397D">
        <w:rPr>
          <w:rStyle w:val="fontstyle01"/>
          <w:rFonts w:ascii="Arial" w:hAnsi="Arial"/>
          <w:sz w:val="21"/>
          <w:szCs w:val="21"/>
        </w:rPr>
        <w:t>to some of</w:t>
      </w:r>
      <w:r w:rsidR="00F8397D" w:rsidRPr="00F8397D">
        <w:rPr>
          <w:rStyle w:val="fontstyle01"/>
          <w:rFonts w:ascii="Arial" w:hAnsi="Arial"/>
          <w:sz w:val="21"/>
          <w:szCs w:val="21"/>
        </w:rPr>
        <w:t xml:space="preserve"> the suggested requirements, other than </w:t>
      </w:r>
      <w:r w:rsidR="00F8397D">
        <w:rPr>
          <w:rStyle w:val="fontstyle01"/>
          <w:rFonts w:ascii="Arial" w:hAnsi="Arial"/>
          <w:sz w:val="21"/>
          <w:szCs w:val="21"/>
        </w:rPr>
        <w:t xml:space="preserve">directing </w:t>
      </w:r>
      <w:r w:rsidR="00F8397D" w:rsidRPr="00F8397D">
        <w:rPr>
          <w:rStyle w:val="fontstyle01"/>
          <w:rFonts w:ascii="Arial" w:hAnsi="Arial"/>
          <w:sz w:val="21"/>
          <w:szCs w:val="21"/>
        </w:rPr>
        <w:t>the agency to the ADSE for access to information.</w:t>
      </w:r>
    </w:p>
    <w:p w14:paraId="57EC3CCA" w14:textId="77777777" w:rsidR="00E66BC3" w:rsidRPr="00F8397D" w:rsidRDefault="00E66BC3" w:rsidP="00E66BC3">
      <w:pPr>
        <w:rPr>
          <w:rStyle w:val="fontstyle01"/>
          <w:rFonts w:ascii="Arial" w:hAnsi="Arial"/>
          <w:sz w:val="21"/>
          <w:szCs w:val="21"/>
        </w:rPr>
      </w:pPr>
    </w:p>
    <w:p w14:paraId="1CE4FF28" w14:textId="77777777" w:rsidR="00F8397D" w:rsidRDefault="00E66BC3" w:rsidP="00F8397D">
      <w:pPr>
        <w:keepNext/>
      </w:pPr>
      <w:r w:rsidRPr="00F8397D">
        <w:rPr>
          <w:noProof/>
          <w:sz w:val="21"/>
          <w:szCs w:val="21"/>
        </w:rPr>
        <w:drawing>
          <wp:inline distT="0" distB="0" distL="0" distR="0" wp14:anchorId="1D619407" wp14:editId="43788B10">
            <wp:extent cx="5057707" cy="1337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6245" cy="1347283"/>
                    </a:xfrm>
                    <a:prstGeom prst="rect">
                      <a:avLst/>
                    </a:prstGeom>
                  </pic:spPr>
                </pic:pic>
              </a:graphicData>
            </a:graphic>
          </wp:inline>
        </w:drawing>
      </w:r>
    </w:p>
    <w:p w14:paraId="181D58FB" w14:textId="77777777" w:rsidR="00F8397D" w:rsidRPr="00F8397D" w:rsidRDefault="00F8397D" w:rsidP="00F8397D">
      <w:pPr>
        <w:pStyle w:val="Caption"/>
        <w:rPr>
          <w:sz w:val="16"/>
          <w:szCs w:val="16"/>
        </w:rPr>
      </w:pPr>
      <w:r w:rsidRPr="00F8397D">
        <w:rPr>
          <w:sz w:val="16"/>
          <w:szCs w:val="16"/>
        </w:rPr>
        <w:t xml:space="preserve">Figure </w:t>
      </w:r>
      <w:r w:rsidRPr="00F8397D">
        <w:rPr>
          <w:sz w:val="16"/>
          <w:szCs w:val="16"/>
        </w:rPr>
        <w:fldChar w:fldCharType="begin"/>
      </w:r>
      <w:r w:rsidRPr="00F8397D">
        <w:rPr>
          <w:sz w:val="16"/>
          <w:szCs w:val="16"/>
        </w:rPr>
        <w:instrText xml:space="preserve"> SEQ Figure \* ARABIC </w:instrText>
      </w:r>
      <w:r w:rsidRPr="00F8397D">
        <w:rPr>
          <w:sz w:val="16"/>
          <w:szCs w:val="16"/>
        </w:rPr>
        <w:fldChar w:fldCharType="separate"/>
      </w:r>
      <w:r w:rsidR="00EF78A6">
        <w:rPr>
          <w:noProof/>
          <w:sz w:val="16"/>
          <w:szCs w:val="16"/>
        </w:rPr>
        <w:t>1</w:t>
      </w:r>
      <w:r w:rsidRPr="00F8397D">
        <w:rPr>
          <w:sz w:val="16"/>
          <w:szCs w:val="16"/>
        </w:rPr>
        <w:fldChar w:fldCharType="end"/>
      </w:r>
      <w:r w:rsidRPr="00F8397D">
        <w:rPr>
          <w:sz w:val="16"/>
          <w:szCs w:val="16"/>
        </w:rPr>
        <w:t>: NTC suggested requirements for interaction with emergency services</w:t>
      </w:r>
    </w:p>
    <w:p w14:paraId="38EB588B" w14:textId="77777777" w:rsidR="00E66BC3" w:rsidRPr="00F8397D" w:rsidRDefault="00E66BC3" w:rsidP="00E66BC3">
      <w:pPr>
        <w:rPr>
          <w:rStyle w:val="fontstyle01"/>
          <w:rFonts w:ascii="Arial" w:hAnsi="Arial"/>
          <w:sz w:val="21"/>
          <w:szCs w:val="21"/>
        </w:rPr>
      </w:pPr>
      <w:r w:rsidRPr="00F8397D">
        <w:rPr>
          <w:rStyle w:val="fontstyle01"/>
          <w:rFonts w:ascii="Arial" w:hAnsi="Arial"/>
          <w:sz w:val="21"/>
          <w:szCs w:val="21"/>
        </w:rPr>
        <w:t xml:space="preserve"> </w:t>
      </w:r>
    </w:p>
    <w:p w14:paraId="37B0B1A6" w14:textId="77777777" w:rsidR="00F8397D" w:rsidRDefault="00F8397D" w:rsidP="00F8397D">
      <w:pPr>
        <w:jc w:val="both"/>
        <w:rPr>
          <w:sz w:val="21"/>
          <w:szCs w:val="21"/>
        </w:rPr>
      </w:pPr>
      <w:r>
        <w:rPr>
          <w:sz w:val="21"/>
          <w:szCs w:val="21"/>
        </w:rPr>
        <w:t>While t</w:t>
      </w:r>
      <w:r w:rsidR="00403269" w:rsidRPr="00F8397D">
        <w:rPr>
          <w:sz w:val="21"/>
          <w:szCs w:val="21"/>
        </w:rPr>
        <w:t xml:space="preserve">his was not </w:t>
      </w:r>
      <w:r>
        <w:rPr>
          <w:sz w:val="21"/>
          <w:szCs w:val="21"/>
        </w:rPr>
        <w:t xml:space="preserve">specifically </w:t>
      </w:r>
      <w:r w:rsidR="00403269" w:rsidRPr="00F8397D">
        <w:rPr>
          <w:sz w:val="21"/>
          <w:szCs w:val="21"/>
        </w:rPr>
        <w:t>assessed as part of the Karragarra trial, the obligation to respond to emergency vehicles or enforcement officers would be the responsibility of the chaperone who would engage manual mode and remove the shuttle to the side of the road.</w:t>
      </w:r>
      <w:r>
        <w:rPr>
          <w:sz w:val="21"/>
          <w:szCs w:val="21"/>
        </w:rPr>
        <w:t xml:space="preserve"> This response would be adequate for the suggested high-level guidelines update. </w:t>
      </w:r>
    </w:p>
    <w:p w14:paraId="109C0F64" w14:textId="77777777" w:rsidR="00F8397D" w:rsidRDefault="00F8397D" w:rsidP="00F8397D">
      <w:pPr>
        <w:jc w:val="both"/>
        <w:rPr>
          <w:sz w:val="21"/>
          <w:szCs w:val="21"/>
        </w:rPr>
      </w:pPr>
    </w:p>
    <w:p w14:paraId="4E0719E3" w14:textId="77777777" w:rsidR="00403269" w:rsidRPr="00F8397D" w:rsidRDefault="00F8397D" w:rsidP="00F8397D">
      <w:pPr>
        <w:jc w:val="both"/>
        <w:rPr>
          <w:sz w:val="21"/>
          <w:szCs w:val="21"/>
        </w:rPr>
      </w:pPr>
      <w:r>
        <w:rPr>
          <w:sz w:val="21"/>
          <w:szCs w:val="21"/>
        </w:rPr>
        <w:t>However, it is recognised that t</w:t>
      </w:r>
      <w:r w:rsidR="00403269" w:rsidRPr="00F8397D">
        <w:rPr>
          <w:sz w:val="21"/>
          <w:szCs w:val="21"/>
        </w:rPr>
        <w:t>he capability for the ADS to recognise enforcement/emergency vehicles becomes critical in trials without an operator.</w:t>
      </w:r>
      <w:r>
        <w:rPr>
          <w:sz w:val="21"/>
          <w:szCs w:val="21"/>
        </w:rPr>
        <w:t xml:space="preserve"> In these cases, additional prescriptive requirements may be more appropriate. </w:t>
      </w:r>
    </w:p>
    <w:p w14:paraId="0178F9E7" w14:textId="77777777" w:rsidR="00403269" w:rsidRDefault="00403269" w:rsidP="008F1AC1"/>
    <w:p w14:paraId="1917BDA1" w14:textId="77777777" w:rsidR="00403269" w:rsidRDefault="00403269" w:rsidP="00403269">
      <w:pPr>
        <w:rPr>
          <w:b/>
          <w:bCs/>
        </w:rPr>
      </w:pPr>
      <w:r>
        <w:rPr>
          <w:b/>
          <w:bCs/>
        </w:rPr>
        <w:t>Pre-trial Testing</w:t>
      </w:r>
    </w:p>
    <w:p w14:paraId="3ED2917F" w14:textId="77777777" w:rsidR="00F176BA" w:rsidRDefault="00F176BA" w:rsidP="00403269">
      <w:pPr>
        <w:rPr>
          <w:i/>
          <w:iCs/>
          <w:highlight w:val="yellow"/>
        </w:rPr>
      </w:pPr>
    </w:p>
    <w:p w14:paraId="2F248978" w14:textId="77777777" w:rsidR="00F176BA" w:rsidRPr="00376386" w:rsidRDefault="00F176BA" w:rsidP="008C5DB5">
      <w:pPr>
        <w:jc w:val="both"/>
        <w:rPr>
          <w:color w:val="000000" w:themeColor="text1"/>
          <w:sz w:val="21"/>
          <w:szCs w:val="21"/>
        </w:rPr>
      </w:pPr>
      <w:r w:rsidRPr="00851E58">
        <w:rPr>
          <w:rStyle w:val="fontstyle01"/>
          <w:rFonts w:ascii="Arial" w:hAnsi="Arial"/>
          <w:sz w:val="21"/>
          <w:szCs w:val="21"/>
        </w:rPr>
        <w:t xml:space="preserve">The NTC’s suggestion that it continue to be up to the trialling organisation to show it has undertaken appropriate pre-trial testing, in any jurisdiction, but that it should be at the state or territory’s discretion to require further testing even where similar tests have been undertaken, is </w:t>
      </w:r>
      <w:r w:rsidR="008C5DB5" w:rsidRPr="00851E58">
        <w:rPr>
          <w:rStyle w:val="fontstyle01"/>
          <w:rFonts w:ascii="Arial" w:hAnsi="Arial"/>
          <w:sz w:val="21"/>
          <w:szCs w:val="21"/>
        </w:rPr>
        <w:t xml:space="preserve">partially </w:t>
      </w:r>
      <w:r w:rsidRPr="00851E58">
        <w:rPr>
          <w:rStyle w:val="fontstyle01"/>
          <w:rFonts w:ascii="Arial" w:hAnsi="Arial"/>
          <w:sz w:val="21"/>
          <w:szCs w:val="21"/>
        </w:rPr>
        <w:t>supported</w:t>
      </w:r>
      <w:r w:rsidR="008C5DB5" w:rsidRPr="00851E58">
        <w:rPr>
          <w:rStyle w:val="fontstyle01"/>
          <w:rFonts w:ascii="Arial" w:hAnsi="Arial"/>
          <w:sz w:val="21"/>
          <w:szCs w:val="21"/>
        </w:rPr>
        <w:t xml:space="preserve"> with preference for emphasis on recognising previous pre-trial </w:t>
      </w:r>
      <w:r w:rsidR="008C5DB5" w:rsidRPr="00376386">
        <w:rPr>
          <w:rStyle w:val="fontstyle01"/>
          <w:rFonts w:ascii="Arial" w:hAnsi="Arial"/>
          <w:color w:val="000000" w:themeColor="text1"/>
          <w:sz w:val="21"/>
          <w:szCs w:val="21"/>
        </w:rPr>
        <w:t>testing</w:t>
      </w:r>
      <w:r w:rsidRPr="00376386">
        <w:rPr>
          <w:rStyle w:val="fontstyle01"/>
          <w:rFonts w:ascii="Arial" w:hAnsi="Arial"/>
          <w:color w:val="000000" w:themeColor="text1"/>
          <w:sz w:val="21"/>
          <w:szCs w:val="21"/>
        </w:rPr>
        <w:t xml:space="preserve">. </w:t>
      </w:r>
      <w:r w:rsidR="008C5DB5" w:rsidRPr="00376386">
        <w:rPr>
          <w:rStyle w:val="fontstyle01"/>
          <w:rFonts w:ascii="Arial" w:hAnsi="Arial"/>
          <w:color w:val="000000" w:themeColor="text1"/>
          <w:sz w:val="21"/>
          <w:szCs w:val="21"/>
        </w:rPr>
        <w:t>Unless there are significant changes to the ODD or a vehicle’s capabilities between trials, p</w:t>
      </w:r>
      <w:r w:rsidRPr="00376386">
        <w:rPr>
          <w:color w:val="000000" w:themeColor="text1"/>
          <w:sz w:val="21"/>
          <w:szCs w:val="21"/>
        </w:rPr>
        <w:t xml:space="preserve">re-trial testing </w:t>
      </w:r>
      <w:r w:rsidR="008C5DB5" w:rsidRPr="00376386">
        <w:rPr>
          <w:color w:val="000000" w:themeColor="text1"/>
          <w:sz w:val="21"/>
          <w:szCs w:val="21"/>
        </w:rPr>
        <w:t>shoul</w:t>
      </w:r>
      <w:r w:rsidRPr="00376386">
        <w:rPr>
          <w:color w:val="000000" w:themeColor="text1"/>
          <w:sz w:val="21"/>
          <w:szCs w:val="21"/>
        </w:rPr>
        <w:t xml:space="preserve">d not be required if a vehicle has already completed a successful deployment in </w:t>
      </w:r>
      <w:r w:rsidR="008C5DB5" w:rsidRPr="00376386">
        <w:rPr>
          <w:color w:val="000000" w:themeColor="text1"/>
          <w:sz w:val="21"/>
          <w:szCs w:val="21"/>
        </w:rPr>
        <w:t>A</w:t>
      </w:r>
      <w:r w:rsidRPr="00376386">
        <w:rPr>
          <w:color w:val="000000" w:themeColor="text1"/>
          <w:sz w:val="21"/>
          <w:szCs w:val="21"/>
        </w:rPr>
        <w:t>ustralia</w:t>
      </w:r>
      <w:r w:rsidR="008C5DB5" w:rsidRPr="00376386">
        <w:rPr>
          <w:color w:val="000000" w:themeColor="text1"/>
          <w:sz w:val="21"/>
          <w:szCs w:val="21"/>
        </w:rPr>
        <w:t xml:space="preserve"> under similar operating circumstances</w:t>
      </w:r>
      <w:r w:rsidRPr="00376386">
        <w:rPr>
          <w:color w:val="000000" w:themeColor="text1"/>
          <w:sz w:val="21"/>
          <w:szCs w:val="21"/>
        </w:rPr>
        <w:t xml:space="preserve">. If </w:t>
      </w:r>
      <w:proofErr w:type="gramStart"/>
      <w:r w:rsidRPr="00376386">
        <w:rPr>
          <w:color w:val="000000" w:themeColor="text1"/>
          <w:sz w:val="21"/>
          <w:szCs w:val="21"/>
        </w:rPr>
        <w:t>it’s</w:t>
      </w:r>
      <w:proofErr w:type="gramEnd"/>
      <w:r w:rsidRPr="00376386">
        <w:rPr>
          <w:color w:val="000000" w:themeColor="text1"/>
          <w:sz w:val="21"/>
          <w:szCs w:val="21"/>
        </w:rPr>
        <w:t xml:space="preserve"> known how a vehicle operates, or its capability (within Australia), then </w:t>
      </w:r>
      <w:r w:rsidR="008C5DB5" w:rsidRPr="00376386">
        <w:rPr>
          <w:color w:val="000000" w:themeColor="text1"/>
          <w:sz w:val="21"/>
          <w:szCs w:val="21"/>
        </w:rPr>
        <w:t xml:space="preserve">additional </w:t>
      </w:r>
      <w:r w:rsidRPr="00376386">
        <w:rPr>
          <w:color w:val="000000" w:themeColor="text1"/>
          <w:sz w:val="21"/>
          <w:szCs w:val="21"/>
        </w:rPr>
        <w:t xml:space="preserve">pre-trial testing seems redundant. </w:t>
      </w:r>
    </w:p>
    <w:p w14:paraId="27BA97F6" w14:textId="77777777" w:rsidR="00F176BA" w:rsidRPr="00376386" w:rsidRDefault="00F176BA" w:rsidP="008C5DB5">
      <w:pPr>
        <w:jc w:val="both"/>
        <w:rPr>
          <w:i/>
          <w:iCs/>
          <w:color w:val="000000" w:themeColor="text1"/>
          <w:sz w:val="21"/>
          <w:szCs w:val="21"/>
          <w:highlight w:val="yellow"/>
        </w:rPr>
      </w:pPr>
    </w:p>
    <w:p w14:paraId="3C648A44" w14:textId="77777777" w:rsidR="00403269" w:rsidRPr="00376386" w:rsidRDefault="00403269" w:rsidP="008C5DB5">
      <w:pPr>
        <w:autoSpaceDE/>
        <w:autoSpaceDN/>
        <w:adjustRightInd/>
        <w:spacing w:after="160" w:line="259" w:lineRule="auto"/>
        <w:jc w:val="both"/>
        <w:rPr>
          <w:rStyle w:val="fontstyle01"/>
          <w:rFonts w:ascii="Arial" w:hAnsi="Arial"/>
          <w:color w:val="000000" w:themeColor="text1"/>
          <w:sz w:val="21"/>
          <w:szCs w:val="21"/>
        </w:rPr>
      </w:pPr>
      <w:r w:rsidRPr="00376386">
        <w:rPr>
          <w:rStyle w:val="fontstyle01"/>
          <w:rFonts w:ascii="Arial" w:hAnsi="Arial"/>
          <w:color w:val="000000" w:themeColor="text1"/>
          <w:sz w:val="21"/>
          <w:szCs w:val="21"/>
        </w:rPr>
        <w:t>Suppliers of autonomous trial vehicles (</w:t>
      </w:r>
      <w:proofErr w:type="spellStart"/>
      <w:r w:rsidRPr="00376386">
        <w:rPr>
          <w:rStyle w:val="fontstyle01"/>
          <w:rFonts w:ascii="Arial" w:hAnsi="Arial"/>
          <w:color w:val="000000" w:themeColor="text1"/>
          <w:sz w:val="21"/>
          <w:szCs w:val="21"/>
        </w:rPr>
        <w:t>Navya</w:t>
      </w:r>
      <w:proofErr w:type="spellEnd"/>
      <w:r w:rsidRPr="00376386">
        <w:rPr>
          <w:rStyle w:val="fontstyle01"/>
          <w:rFonts w:ascii="Arial" w:hAnsi="Arial"/>
          <w:color w:val="000000" w:themeColor="text1"/>
          <w:sz w:val="21"/>
          <w:szCs w:val="21"/>
        </w:rPr>
        <w:t xml:space="preserve">, </w:t>
      </w:r>
      <w:proofErr w:type="spellStart"/>
      <w:r w:rsidRPr="00376386">
        <w:rPr>
          <w:rStyle w:val="fontstyle01"/>
          <w:rFonts w:ascii="Arial" w:hAnsi="Arial"/>
          <w:color w:val="000000" w:themeColor="text1"/>
          <w:sz w:val="21"/>
          <w:szCs w:val="21"/>
        </w:rPr>
        <w:t>EasyMile</w:t>
      </w:r>
      <w:proofErr w:type="spellEnd"/>
      <w:r w:rsidRPr="00376386">
        <w:rPr>
          <w:rStyle w:val="fontstyle01"/>
          <w:rFonts w:ascii="Arial" w:hAnsi="Arial"/>
          <w:color w:val="000000" w:themeColor="text1"/>
          <w:sz w:val="21"/>
          <w:szCs w:val="21"/>
        </w:rPr>
        <w:t>), rely on kilometre</w:t>
      </w:r>
      <w:r w:rsidR="008C5DB5" w:rsidRPr="00376386">
        <w:rPr>
          <w:rStyle w:val="fontstyle01"/>
          <w:rFonts w:ascii="Arial" w:hAnsi="Arial"/>
          <w:color w:val="000000" w:themeColor="text1"/>
          <w:sz w:val="21"/>
          <w:szCs w:val="21"/>
        </w:rPr>
        <w:t>s</w:t>
      </w:r>
      <w:r w:rsidRPr="00376386">
        <w:rPr>
          <w:rStyle w:val="fontstyle01"/>
          <w:rFonts w:ascii="Arial" w:hAnsi="Arial"/>
          <w:color w:val="000000" w:themeColor="text1"/>
          <w:sz w:val="21"/>
          <w:szCs w:val="21"/>
        </w:rPr>
        <w:t xml:space="preserve"> travelled in numerous overseas deployments and trials as evidence of the vehicle’s capability. Notwithstanding, jurisdictions require dynamic vehicle tests to ensure that the vehicle can replicate its safety functions and operational capability in trial environment conditions. With driving environments varying both domestically and internationally, it is reasonable that jurisdictions require local vehicle tests</w:t>
      </w:r>
      <w:r w:rsidR="008C5DB5" w:rsidRPr="00376386">
        <w:rPr>
          <w:rStyle w:val="fontstyle01"/>
          <w:rFonts w:ascii="Arial" w:hAnsi="Arial"/>
          <w:color w:val="000000" w:themeColor="text1"/>
          <w:sz w:val="21"/>
          <w:szCs w:val="21"/>
        </w:rPr>
        <w:t xml:space="preserve"> particularly where ODD and vehicle or trial conditions have notably changed</w:t>
      </w:r>
      <w:r w:rsidRPr="00376386">
        <w:rPr>
          <w:rStyle w:val="fontstyle01"/>
          <w:rFonts w:ascii="Arial" w:hAnsi="Arial"/>
          <w:color w:val="000000" w:themeColor="text1"/>
          <w:sz w:val="21"/>
          <w:szCs w:val="21"/>
        </w:rPr>
        <w:t>.</w:t>
      </w:r>
    </w:p>
    <w:p w14:paraId="78191AA2" w14:textId="45D096A8" w:rsidR="008E73F9" w:rsidRPr="00A2378F" w:rsidRDefault="00403269" w:rsidP="00A2378F">
      <w:pPr>
        <w:autoSpaceDE/>
        <w:autoSpaceDN/>
        <w:adjustRightInd/>
        <w:spacing w:after="160" w:line="259" w:lineRule="auto"/>
        <w:jc w:val="both"/>
        <w:rPr>
          <w:sz w:val="21"/>
          <w:szCs w:val="21"/>
        </w:rPr>
      </w:pPr>
      <w:r w:rsidRPr="00851E58">
        <w:rPr>
          <w:rStyle w:val="fontstyle01"/>
          <w:rFonts w:ascii="Arial" w:hAnsi="Arial"/>
          <w:sz w:val="21"/>
          <w:szCs w:val="21"/>
        </w:rPr>
        <w:t>Notwithstanding the previous point, it is important that approving jurisdictions prescribe and make</w:t>
      </w:r>
      <w:r w:rsidR="008C5DB5" w:rsidRPr="00851E58">
        <w:rPr>
          <w:rStyle w:val="fontstyle01"/>
          <w:rFonts w:ascii="Arial" w:hAnsi="Arial"/>
          <w:sz w:val="21"/>
          <w:szCs w:val="21"/>
        </w:rPr>
        <w:t xml:space="preserve"> requirements for</w:t>
      </w:r>
      <w:r w:rsidRPr="00851E58">
        <w:rPr>
          <w:rStyle w:val="fontstyle01"/>
          <w:rFonts w:ascii="Arial" w:hAnsi="Arial"/>
          <w:sz w:val="21"/>
          <w:szCs w:val="21"/>
        </w:rPr>
        <w:t xml:space="preserve"> </w:t>
      </w:r>
      <w:r w:rsidR="008C5DB5" w:rsidRPr="00851E58">
        <w:rPr>
          <w:rStyle w:val="fontstyle01"/>
          <w:rFonts w:ascii="Arial" w:hAnsi="Arial"/>
          <w:sz w:val="21"/>
          <w:szCs w:val="21"/>
        </w:rPr>
        <w:t>any additional</w:t>
      </w:r>
      <w:r w:rsidRPr="00851E58">
        <w:rPr>
          <w:rStyle w:val="fontstyle01"/>
          <w:rFonts w:ascii="Arial" w:hAnsi="Arial"/>
          <w:sz w:val="21"/>
          <w:szCs w:val="21"/>
        </w:rPr>
        <w:t xml:space="preserve"> tests </w:t>
      </w:r>
      <w:r w:rsidR="008C5DB5" w:rsidRPr="00851E58">
        <w:rPr>
          <w:rStyle w:val="fontstyle01"/>
          <w:rFonts w:ascii="Arial" w:hAnsi="Arial"/>
          <w:sz w:val="21"/>
          <w:szCs w:val="21"/>
        </w:rPr>
        <w:t xml:space="preserve">known </w:t>
      </w:r>
      <w:r w:rsidRPr="00851E58">
        <w:rPr>
          <w:rStyle w:val="fontstyle01"/>
          <w:rFonts w:ascii="Arial" w:hAnsi="Arial"/>
          <w:sz w:val="21"/>
          <w:szCs w:val="21"/>
        </w:rPr>
        <w:t xml:space="preserve">early in the permit application process. This is important for two reasons. Firstly, the capacity of a vehicle to meet the dynamic vehicle tests related to a trial location can be assessed during the procurement process which ensures that the vehicle will be fit for task. Secondly, most, if not all, autonomous vehicle suppliers are based </w:t>
      </w:r>
      <w:proofErr w:type="gramStart"/>
      <w:r w:rsidRPr="00851E58">
        <w:rPr>
          <w:rStyle w:val="fontstyle01"/>
          <w:rFonts w:ascii="Arial" w:hAnsi="Arial"/>
          <w:sz w:val="21"/>
          <w:szCs w:val="21"/>
        </w:rPr>
        <w:t>overseas</w:t>
      </w:r>
      <w:proofErr w:type="gramEnd"/>
      <w:r w:rsidRPr="00851E58">
        <w:rPr>
          <w:rStyle w:val="fontstyle01"/>
          <w:rFonts w:ascii="Arial" w:hAnsi="Arial"/>
          <w:sz w:val="21"/>
          <w:szCs w:val="21"/>
        </w:rPr>
        <w:t xml:space="preserve"> and engineers are sent to perform vehicle tests as often the operator is not yet accredited to chaperone the vehicle. Attending engineers represent a significant cost to the trial proponents). If jurisdictions require additional vehicle tests </w:t>
      </w:r>
      <w:proofErr w:type="gramStart"/>
      <w:r w:rsidRPr="00851E58">
        <w:rPr>
          <w:rStyle w:val="fontstyle01"/>
          <w:rFonts w:ascii="Arial" w:hAnsi="Arial"/>
          <w:sz w:val="21"/>
          <w:szCs w:val="21"/>
        </w:rPr>
        <w:t>at a later date</w:t>
      </w:r>
      <w:proofErr w:type="gramEnd"/>
      <w:r w:rsidRPr="00851E58">
        <w:rPr>
          <w:rStyle w:val="fontstyle01"/>
          <w:rFonts w:ascii="Arial" w:hAnsi="Arial"/>
          <w:sz w:val="21"/>
          <w:szCs w:val="21"/>
        </w:rPr>
        <w:t xml:space="preserve"> in the permit process, this will result in increased costs, delays to the deployment timeline and logistics issues.</w:t>
      </w:r>
    </w:p>
    <w:p w14:paraId="761FA113" w14:textId="77777777" w:rsidR="00403269" w:rsidRDefault="00403269" w:rsidP="00403269"/>
    <w:p w14:paraId="36734938" w14:textId="77777777" w:rsidR="00403269" w:rsidRPr="002E4410" w:rsidRDefault="00403269" w:rsidP="0087285C">
      <w:pPr>
        <w:pStyle w:val="Heading4"/>
        <w:numPr>
          <w:ilvl w:val="0"/>
          <w:numId w:val="27"/>
        </w:numPr>
        <w:spacing w:before="0"/>
        <w:jc w:val="both"/>
        <w:rPr>
          <w:rFonts w:ascii="Arial" w:hAnsi="Arial" w:cs="Arial"/>
          <w:i w:val="0"/>
          <w:iCs w:val="0"/>
        </w:rPr>
      </w:pPr>
      <w:r w:rsidRPr="002E4410">
        <w:rPr>
          <w:rFonts w:ascii="Arial" w:hAnsi="Arial" w:cs="Arial"/>
          <w:i w:val="0"/>
          <w:iCs w:val="0"/>
        </w:rPr>
        <w:t>What issues have been encountered when obtaining or providing insurance?</w:t>
      </w:r>
    </w:p>
    <w:p w14:paraId="7FCCB1CC" w14:textId="77777777" w:rsidR="00403269" w:rsidRDefault="00403269" w:rsidP="00A2378F">
      <w:pPr>
        <w:jc w:val="both"/>
      </w:pPr>
    </w:p>
    <w:p w14:paraId="6ACDD1BF" w14:textId="148B42B7" w:rsidR="008C5DB5" w:rsidRPr="00A2378F" w:rsidRDefault="008C5DB5" w:rsidP="00A2378F">
      <w:pPr>
        <w:jc w:val="both"/>
        <w:rPr>
          <w:rStyle w:val="fontstyle01"/>
          <w:rFonts w:ascii="Arial" w:hAnsi="Arial"/>
          <w:color w:val="auto"/>
          <w:sz w:val="21"/>
          <w:szCs w:val="21"/>
        </w:rPr>
      </w:pPr>
      <w:r w:rsidRPr="00A2378F">
        <w:rPr>
          <w:rStyle w:val="fontstyle01"/>
          <w:rFonts w:ascii="Arial" w:hAnsi="Arial"/>
          <w:color w:val="auto"/>
          <w:sz w:val="21"/>
          <w:szCs w:val="21"/>
        </w:rPr>
        <w:t>The recommendation to retain a high-level requirement to hold appropriate insurance remains appropriate for trials of emerging technology</w:t>
      </w:r>
      <w:r w:rsidR="00A2378F" w:rsidRPr="00A2378F">
        <w:rPr>
          <w:rStyle w:val="fontstyle01"/>
          <w:rFonts w:ascii="Arial" w:hAnsi="Arial"/>
          <w:color w:val="auto"/>
          <w:sz w:val="21"/>
          <w:szCs w:val="21"/>
        </w:rPr>
        <w:t xml:space="preserve"> is supported though additional guidance on availability and types/amounts would be beneficial (discussed below)</w:t>
      </w:r>
      <w:r w:rsidRPr="00A2378F">
        <w:rPr>
          <w:rStyle w:val="fontstyle01"/>
          <w:rFonts w:ascii="Arial" w:hAnsi="Arial"/>
          <w:color w:val="auto"/>
          <w:sz w:val="21"/>
          <w:szCs w:val="21"/>
        </w:rPr>
        <w:t>. Different jurisdictions have varying insurance frameworks (e.g. at-fault, no-fault)</w:t>
      </w:r>
      <w:r w:rsidR="00851E58" w:rsidRPr="00A2378F">
        <w:rPr>
          <w:rStyle w:val="fontstyle01"/>
          <w:rFonts w:ascii="Arial" w:hAnsi="Arial"/>
          <w:color w:val="auto"/>
          <w:sz w:val="21"/>
          <w:szCs w:val="21"/>
        </w:rPr>
        <w:t>, and trials have varying levels of risk associated.</w:t>
      </w:r>
      <w:r w:rsidRPr="00A2378F">
        <w:rPr>
          <w:rStyle w:val="fontstyle01"/>
          <w:rFonts w:ascii="Arial" w:hAnsi="Arial"/>
          <w:color w:val="auto"/>
          <w:sz w:val="21"/>
          <w:szCs w:val="21"/>
        </w:rPr>
        <w:t xml:space="preserve"> </w:t>
      </w:r>
      <w:r w:rsidR="00851E58" w:rsidRPr="00A2378F">
        <w:rPr>
          <w:rStyle w:val="fontstyle01"/>
          <w:rFonts w:ascii="Arial" w:hAnsi="Arial"/>
          <w:color w:val="auto"/>
          <w:sz w:val="21"/>
          <w:szCs w:val="21"/>
        </w:rPr>
        <w:t>It is therefore reasonable to expect insurance may vary state to state and trial to trial.</w:t>
      </w:r>
    </w:p>
    <w:p w14:paraId="74F4894A" w14:textId="77777777" w:rsidR="008C5DB5" w:rsidRPr="00A2378F" w:rsidRDefault="008C5DB5" w:rsidP="0087285C">
      <w:pPr>
        <w:jc w:val="both"/>
        <w:rPr>
          <w:sz w:val="21"/>
          <w:szCs w:val="21"/>
        </w:rPr>
      </w:pPr>
    </w:p>
    <w:p w14:paraId="6443D44A" w14:textId="77777777" w:rsidR="00403269" w:rsidRPr="00A2378F" w:rsidRDefault="00403269" w:rsidP="0087285C">
      <w:pPr>
        <w:autoSpaceDE/>
        <w:autoSpaceDN/>
        <w:adjustRightInd/>
        <w:spacing w:after="160" w:line="259" w:lineRule="auto"/>
        <w:jc w:val="both"/>
        <w:rPr>
          <w:rStyle w:val="IntenseEmphasis"/>
          <w:i w:val="0"/>
          <w:iCs w:val="0"/>
          <w:color w:val="auto"/>
          <w:sz w:val="21"/>
          <w:szCs w:val="21"/>
        </w:rPr>
      </w:pPr>
      <w:r w:rsidRPr="00A2378F">
        <w:rPr>
          <w:rStyle w:val="IntenseEmphasis"/>
          <w:i w:val="0"/>
          <w:iCs w:val="0"/>
          <w:color w:val="auto"/>
          <w:sz w:val="21"/>
          <w:szCs w:val="21"/>
        </w:rPr>
        <w:t xml:space="preserve">For the Karragarra trial, insurance arrangements were complicated by the operator (Redland City Council) being a separate entity to the trial vehicle owner (RACQ). </w:t>
      </w:r>
    </w:p>
    <w:p w14:paraId="19341731" w14:textId="77777777" w:rsidR="00403269" w:rsidRPr="00A2378F" w:rsidRDefault="00403269" w:rsidP="0087285C">
      <w:pPr>
        <w:autoSpaceDE/>
        <w:autoSpaceDN/>
        <w:adjustRightInd/>
        <w:spacing w:after="160" w:line="259" w:lineRule="auto"/>
        <w:jc w:val="both"/>
        <w:rPr>
          <w:rStyle w:val="IntenseEmphasis"/>
          <w:i w:val="0"/>
          <w:iCs w:val="0"/>
          <w:color w:val="auto"/>
          <w:sz w:val="21"/>
          <w:szCs w:val="21"/>
        </w:rPr>
      </w:pPr>
      <w:r w:rsidRPr="00A2378F">
        <w:rPr>
          <w:rStyle w:val="IntenseEmphasis"/>
          <w:i w:val="0"/>
          <w:iCs w:val="0"/>
          <w:color w:val="auto"/>
          <w:sz w:val="21"/>
          <w:szCs w:val="21"/>
        </w:rPr>
        <w:t xml:space="preserve">RACQ decided to </w:t>
      </w:r>
      <w:proofErr w:type="gramStart"/>
      <w:r w:rsidRPr="00A2378F">
        <w:rPr>
          <w:rStyle w:val="IntenseEmphasis"/>
          <w:i w:val="0"/>
          <w:iCs w:val="0"/>
          <w:color w:val="auto"/>
          <w:sz w:val="21"/>
          <w:szCs w:val="21"/>
        </w:rPr>
        <w:t>insure</w:t>
      </w:r>
      <w:proofErr w:type="gramEnd"/>
      <w:r w:rsidRPr="00A2378F">
        <w:rPr>
          <w:rStyle w:val="IntenseEmphasis"/>
          <w:i w:val="0"/>
          <w:iCs w:val="0"/>
          <w:color w:val="auto"/>
          <w:sz w:val="21"/>
          <w:szCs w:val="21"/>
        </w:rPr>
        <w:t xml:space="preserve"> the vehicle through Allianz who had insured several Easy Mile autonomous vehicles for trial purposes. RACQ did not insure through our own insurer due to the vehicle being under conditional registration.</w:t>
      </w:r>
      <w:r w:rsidR="00A2378F" w:rsidRPr="00A2378F">
        <w:rPr>
          <w:rStyle w:val="IntenseEmphasis"/>
          <w:i w:val="0"/>
          <w:iCs w:val="0"/>
          <w:color w:val="auto"/>
          <w:sz w:val="21"/>
          <w:szCs w:val="21"/>
        </w:rPr>
        <w:t xml:space="preserve"> </w:t>
      </w:r>
      <w:r w:rsidRPr="00A2378F">
        <w:rPr>
          <w:rStyle w:val="IntenseEmphasis"/>
          <w:i w:val="0"/>
          <w:iCs w:val="0"/>
          <w:color w:val="auto"/>
          <w:sz w:val="21"/>
          <w:szCs w:val="21"/>
        </w:rPr>
        <w:t>The Allianz policy covered the cost of the vehicle and third-party damage up to $20,000,000.</w:t>
      </w:r>
    </w:p>
    <w:p w14:paraId="7E6A7363" w14:textId="77777777" w:rsidR="00403269" w:rsidRPr="00A2378F" w:rsidRDefault="00403269" w:rsidP="0087285C">
      <w:pPr>
        <w:autoSpaceDE/>
        <w:autoSpaceDN/>
        <w:adjustRightInd/>
        <w:spacing w:line="259" w:lineRule="auto"/>
        <w:jc w:val="both"/>
        <w:rPr>
          <w:rStyle w:val="IntenseEmphasis"/>
          <w:i w:val="0"/>
          <w:iCs w:val="0"/>
          <w:color w:val="auto"/>
          <w:sz w:val="21"/>
          <w:szCs w:val="21"/>
        </w:rPr>
      </w:pPr>
      <w:r w:rsidRPr="00A2378F">
        <w:rPr>
          <w:rStyle w:val="IntenseEmphasis"/>
          <w:i w:val="0"/>
          <w:iCs w:val="0"/>
          <w:color w:val="auto"/>
          <w:sz w:val="21"/>
          <w:szCs w:val="21"/>
        </w:rPr>
        <w:t>RACQ also requested that RCC hold the following insurance as the vehicle operator:</w:t>
      </w:r>
    </w:p>
    <w:p w14:paraId="54D98CD5" w14:textId="77777777" w:rsidR="00403269" w:rsidRPr="00A2378F" w:rsidRDefault="00403269" w:rsidP="0087285C">
      <w:pPr>
        <w:pStyle w:val="ListParagraph"/>
        <w:numPr>
          <w:ilvl w:val="0"/>
          <w:numId w:val="28"/>
        </w:numPr>
        <w:autoSpaceDE/>
        <w:autoSpaceDN/>
        <w:adjustRightInd/>
        <w:spacing w:after="160" w:line="259" w:lineRule="auto"/>
        <w:jc w:val="both"/>
        <w:rPr>
          <w:sz w:val="21"/>
          <w:szCs w:val="21"/>
        </w:rPr>
      </w:pPr>
      <w:r w:rsidRPr="00A2378F">
        <w:rPr>
          <w:sz w:val="21"/>
          <w:szCs w:val="21"/>
        </w:rPr>
        <w:t>Public liability insurance</w:t>
      </w:r>
    </w:p>
    <w:p w14:paraId="38FCA890" w14:textId="77777777" w:rsidR="00403269" w:rsidRPr="00A2378F" w:rsidRDefault="00403269" w:rsidP="0087285C">
      <w:pPr>
        <w:pStyle w:val="ListParagraph"/>
        <w:numPr>
          <w:ilvl w:val="0"/>
          <w:numId w:val="28"/>
        </w:numPr>
        <w:autoSpaceDE/>
        <w:autoSpaceDN/>
        <w:adjustRightInd/>
        <w:spacing w:after="160" w:line="259" w:lineRule="auto"/>
        <w:jc w:val="both"/>
        <w:rPr>
          <w:sz w:val="21"/>
          <w:szCs w:val="21"/>
        </w:rPr>
      </w:pPr>
      <w:r w:rsidRPr="00A2378F">
        <w:rPr>
          <w:sz w:val="21"/>
          <w:szCs w:val="21"/>
        </w:rPr>
        <w:t>Professional indemnity</w:t>
      </w:r>
    </w:p>
    <w:p w14:paraId="4FDB6657" w14:textId="77777777" w:rsidR="00403269" w:rsidRPr="00A2378F" w:rsidRDefault="00403269" w:rsidP="0087285C">
      <w:pPr>
        <w:pStyle w:val="ListParagraph"/>
        <w:numPr>
          <w:ilvl w:val="0"/>
          <w:numId w:val="28"/>
        </w:numPr>
        <w:autoSpaceDE/>
        <w:autoSpaceDN/>
        <w:adjustRightInd/>
        <w:spacing w:after="160" w:line="259" w:lineRule="auto"/>
        <w:jc w:val="both"/>
        <w:rPr>
          <w:sz w:val="21"/>
          <w:szCs w:val="21"/>
        </w:rPr>
      </w:pPr>
      <w:r w:rsidRPr="00A2378F">
        <w:rPr>
          <w:sz w:val="21"/>
          <w:szCs w:val="21"/>
        </w:rPr>
        <w:t>Professional indemnity insurance</w:t>
      </w:r>
    </w:p>
    <w:p w14:paraId="2EF20321" w14:textId="77777777" w:rsidR="00A2378F" w:rsidRPr="00A2378F" w:rsidRDefault="00403269" w:rsidP="0087285C">
      <w:pPr>
        <w:pStyle w:val="ListParagraph"/>
        <w:numPr>
          <w:ilvl w:val="0"/>
          <w:numId w:val="28"/>
        </w:numPr>
        <w:autoSpaceDE/>
        <w:autoSpaceDN/>
        <w:adjustRightInd/>
        <w:spacing w:after="160" w:line="259" w:lineRule="auto"/>
        <w:jc w:val="both"/>
        <w:rPr>
          <w:sz w:val="21"/>
          <w:szCs w:val="21"/>
        </w:rPr>
      </w:pPr>
      <w:r w:rsidRPr="00A2378F">
        <w:rPr>
          <w:sz w:val="21"/>
          <w:szCs w:val="21"/>
        </w:rPr>
        <w:t>Workers compensation insurance</w:t>
      </w:r>
    </w:p>
    <w:p w14:paraId="156ED591" w14:textId="77777777" w:rsidR="00403269" w:rsidRPr="00A2378F" w:rsidRDefault="00403269" w:rsidP="0087285C">
      <w:pPr>
        <w:autoSpaceDE/>
        <w:autoSpaceDN/>
        <w:adjustRightInd/>
        <w:spacing w:after="160" w:line="259" w:lineRule="auto"/>
        <w:jc w:val="both"/>
        <w:rPr>
          <w:rStyle w:val="IntenseEmphasis"/>
          <w:i w:val="0"/>
          <w:iCs w:val="0"/>
          <w:color w:val="auto"/>
          <w:sz w:val="21"/>
          <w:szCs w:val="21"/>
        </w:rPr>
      </w:pPr>
      <w:r w:rsidRPr="00A2378F">
        <w:rPr>
          <w:rStyle w:val="IntenseEmphasis"/>
          <w:i w:val="0"/>
          <w:iCs w:val="0"/>
          <w:color w:val="auto"/>
          <w:sz w:val="21"/>
          <w:szCs w:val="21"/>
        </w:rPr>
        <w:t>Finally, the MOU between RACQ and RCC provided mutual indemnity for any liability</w:t>
      </w:r>
    </w:p>
    <w:p w14:paraId="5803E794" w14:textId="4C12471F" w:rsidR="00403269" w:rsidRDefault="00403269" w:rsidP="0087285C">
      <w:pPr>
        <w:autoSpaceDE/>
        <w:autoSpaceDN/>
        <w:adjustRightInd/>
        <w:spacing w:after="160" w:line="259" w:lineRule="auto"/>
        <w:jc w:val="both"/>
        <w:rPr>
          <w:rStyle w:val="IntenseEmphasis"/>
          <w:i w:val="0"/>
          <w:iCs w:val="0"/>
          <w:color w:val="auto"/>
          <w:sz w:val="21"/>
          <w:szCs w:val="21"/>
        </w:rPr>
      </w:pPr>
      <w:r w:rsidRPr="00A2378F">
        <w:rPr>
          <w:rStyle w:val="IntenseEmphasis"/>
          <w:i w:val="0"/>
          <w:iCs w:val="0"/>
          <w:color w:val="auto"/>
          <w:sz w:val="21"/>
          <w:szCs w:val="21"/>
        </w:rPr>
        <w:lastRenderedPageBreak/>
        <w:t>Despite having an inhouse insurance company providing advice and guidance, navigating insurance arrangements was complex. Appropriate insurance cover is critical to minimising exposure to risk and it is recommended that the trial guidelines make clear what insurance is required and the possible gaps in insurance cover for autonomous vehicle trials.</w:t>
      </w:r>
    </w:p>
    <w:p w14:paraId="743F5BA2" w14:textId="4AA7D251" w:rsidR="0003073D" w:rsidRDefault="0003073D" w:rsidP="0087285C">
      <w:pPr>
        <w:autoSpaceDE/>
        <w:autoSpaceDN/>
        <w:adjustRightInd/>
        <w:spacing w:after="160" w:line="259" w:lineRule="auto"/>
        <w:jc w:val="both"/>
        <w:rPr>
          <w:rStyle w:val="IntenseEmphasis"/>
          <w:i w:val="0"/>
          <w:iCs w:val="0"/>
          <w:color w:val="auto"/>
          <w:sz w:val="21"/>
          <w:szCs w:val="21"/>
        </w:rPr>
      </w:pPr>
      <w:r>
        <w:rPr>
          <w:rStyle w:val="IntenseEmphasis"/>
          <w:i w:val="0"/>
          <w:iCs w:val="0"/>
          <w:color w:val="auto"/>
          <w:sz w:val="21"/>
          <w:szCs w:val="21"/>
        </w:rPr>
        <w:t>Since the Karragarra Island trial, it has been advised by the trialling organisation’s insurer than there is greater flexibility in the insurance market now which should make the insurance component easier for future deployments.</w:t>
      </w:r>
    </w:p>
    <w:p w14:paraId="28D7F2AE" w14:textId="77777777" w:rsidR="00403269" w:rsidRDefault="00403269" w:rsidP="008F1AC1"/>
    <w:p w14:paraId="7F85D5D9" w14:textId="77777777" w:rsidR="00403269" w:rsidRPr="002E4410" w:rsidRDefault="00403269" w:rsidP="009D011F">
      <w:pPr>
        <w:pStyle w:val="ListParagraph"/>
        <w:numPr>
          <w:ilvl w:val="0"/>
          <w:numId w:val="27"/>
        </w:numPr>
        <w:autoSpaceDE/>
        <w:autoSpaceDN/>
        <w:adjustRightInd/>
        <w:spacing w:after="160" w:line="259" w:lineRule="auto"/>
        <w:rPr>
          <w:rFonts w:eastAsiaTheme="majorEastAsia"/>
          <w:color w:val="365F91" w:themeColor="accent1" w:themeShade="BF"/>
        </w:rPr>
      </w:pPr>
      <w:r w:rsidRPr="002E4410">
        <w:rPr>
          <w:rFonts w:eastAsiaTheme="majorEastAsia"/>
          <w:color w:val="365F91" w:themeColor="accent1" w:themeShade="BF"/>
        </w:rPr>
        <w:t xml:space="preserve">Are the current insurance requirements sufficient (section 5 of the guidelines)? If not, how should they change? </w:t>
      </w:r>
    </w:p>
    <w:p w14:paraId="4C69E177" w14:textId="77777777" w:rsidR="00320083" w:rsidRDefault="00403269" w:rsidP="00A2378F">
      <w:pPr>
        <w:autoSpaceDE/>
        <w:autoSpaceDN/>
        <w:adjustRightInd/>
        <w:spacing w:after="160" w:line="259" w:lineRule="auto"/>
        <w:jc w:val="both"/>
        <w:rPr>
          <w:sz w:val="21"/>
          <w:szCs w:val="21"/>
        </w:rPr>
      </w:pPr>
      <w:r w:rsidRPr="00403269">
        <w:rPr>
          <w:sz w:val="21"/>
          <w:szCs w:val="21"/>
        </w:rPr>
        <w:t xml:space="preserve">The adequacy of insurance requirements and arrangements will be impacted by the nature of the CTP scheme in the jurisdiction where the trial is located. For example, the CTP scheme in </w:t>
      </w:r>
      <w:r w:rsidR="00A2378F">
        <w:rPr>
          <w:sz w:val="21"/>
          <w:szCs w:val="21"/>
        </w:rPr>
        <w:t xml:space="preserve">Queensland </w:t>
      </w:r>
      <w:r w:rsidRPr="00403269">
        <w:rPr>
          <w:sz w:val="21"/>
          <w:szCs w:val="21"/>
        </w:rPr>
        <w:t>is an “at fault” scheme where a road user injured as a result of a motor vehicle crash will not be covered by CTP insurance if they can’t blame another driver/vehicle for their injuries. It remains unclear and untested whether CTP insurance in all states would provide cover if, following an incident involving the vehicle causing incident, the ADS was deemed to be in control of the vehicle and at fault. It is also unclear how the ADS interface with the on-board operator would impact insurance arrangements and the determination of fault.</w:t>
      </w:r>
      <w:r w:rsidR="00320083">
        <w:rPr>
          <w:sz w:val="21"/>
          <w:szCs w:val="21"/>
        </w:rPr>
        <w:t xml:space="preserve"> </w:t>
      </w:r>
    </w:p>
    <w:p w14:paraId="14FB60FC" w14:textId="77777777" w:rsidR="00403269" w:rsidRDefault="00320083" w:rsidP="00A2378F">
      <w:pPr>
        <w:autoSpaceDE/>
        <w:autoSpaceDN/>
        <w:adjustRightInd/>
        <w:spacing w:after="160" w:line="259" w:lineRule="auto"/>
        <w:jc w:val="both"/>
        <w:rPr>
          <w:sz w:val="21"/>
          <w:szCs w:val="21"/>
        </w:rPr>
      </w:pPr>
      <w:r>
        <w:rPr>
          <w:sz w:val="21"/>
          <w:szCs w:val="21"/>
        </w:rPr>
        <w:t xml:space="preserve">This may be rectified following legislative reforms to </w:t>
      </w:r>
      <w:r w:rsidRPr="00320083">
        <w:rPr>
          <w:sz w:val="21"/>
          <w:szCs w:val="21"/>
        </w:rPr>
        <w:t>allow an ADS to drive an automated vehicle in place of a human</w:t>
      </w:r>
      <w:r>
        <w:rPr>
          <w:sz w:val="21"/>
          <w:szCs w:val="21"/>
        </w:rPr>
        <w:t xml:space="preserve">, and subject to further approvals – </w:t>
      </w:r>
      <w:r w:rsidRPr="00320083">
        <w:rPr>
          <w:sz w:val="21"/>
          <w:szCs w:val="21"/>
        </w:rPr>
        <w:t>create provisions enabling people involved in an automated vehicle crash to access MAII schemes</w:t>
      </w:r>
      <w:r>
        <w:rPr>
          <w:sz w:val="21"/>
          <w:szCs w:val="21"/>
        </w:rPr>
        <w:t>.</w:t>
      </w:r>
    </w:p>
    <w:p w14:paraId="0AC4535B" w14:textId="77777777" w:rsidR="009D011F" w:rsidRPr="002E4410" w:rsidRDefault="009D011F" w:rsidP="009D011F">
      <w:pPr>
        <w:pStyle w:val="ListParagraph"/>
        <w:numPr>
          <w:ilvl w:val="0"/>
          <w:numId w:val="27"/>
        </w:numPr>
        <w:rPr>
          <w:rFonts w:eastAsiaTheme="majorEastAsia"/>
          <w:color w:val="365F91" w:themeColor="accent1" w:themeShade="BF"/>
        </w:rPr>
      </w:pPr>
      <w:r w:rsidRPr="002E4410">
        <w:rPr>
          <w:rFonts w:eastAsiaTheme="majorEastAsia"/>
          <w:color w:val="365F91" w:themeColor="accent1" w:themeShade="BF"/>
        </w:rPr>
        <w:t>Should the guidelines be updated to improve the provision of relevant data and information</w:t>
      </w:r>
      <w:r w:rsidR="002E4410">
        <w:rPr>
          <w:rFonts w:eastAsiaTheme="majorEastAsia"/>
          <w:color w:val="365F91" w:themeColor="accent1" w:themeShade="BF"/>
        </w:rPr>
        <w:t xml:space="preserve"> </w:t>
      </w:r>
      <w:r w:rsidRPr="002E4410">
        <w:rPr>
          <w:rFonts w:eastAsiaTheme="majorEastAsia"/>
          <w:color w:val="365F91" w:themeColor="accent1" w:themeShade="BF"/>
        </w:rPr>
        <w:t xml:space="preserve">(section 6 of the guidelines)? Consider in particular: </w:t>
      </w:r>
    </w:p>
    <w:p w14:paraId="28BE7931" w14:textId="77777777" w:rsidR="009D011F" w:rsidRPr="002E4410" w:rsidRDefault="009D011F" w:rsidP="009D011F">
      <w:pPr>
        <w:pStyle w:val="ListParagraph"/>
        <w:numPr>
          <w:ilvl w:val="0"/>
          <w:numId w:val="30"/>
        </w:numPr>
        <w:rPr>
          <w:rFonts w:eastAsiaTheme="majorEastAsia"/>
          <w:color w:val="365F91" w:themeColor="accent1" w:themeShade="BF"/>
        </w:rPr>
      </w:pPr>
      <w:r w:rsidRPr="002E4410">
        <w:rPr>
          <w:rFonts w:eastAsiaTheme="majorEastAsia"/>
          <w:color w:val="365F91" w:themeColor="accent1" w:themeShade="BF"/>
        </w:rPr>
        <w:t>Disengagements</w:t>
      </w:r>
    </w:p>
    <w:p w14:paraId="2E3C09F2" w14:textId="77777777" w:rsidR="009D011F" w:rsidRPr="002E4410" w:rsidRDefault="009D011F" w:rsidP="009D011F">
      <w:pPr>
        <w:pStyle w:val="ListParagraph"/>
        <w:numPr>
          <w:ilvl w:val="0"/>
          <w:numId w:val="30"/>
        </w:numPr>
        <w:rPr>
          <w:rFonts w:eastAsiaTheme="majorEastAsia"/>
          <w:color w:val="365F91" w:themeColor="accent1" w:themeShade="BF"/>
        </w:rPr>
      </w:pPr>
      <w:r w:rsidRPr="002E4410">
        <w:rPr>
          <w:rFonts w:eastAsiaTheme="majorEastAsia"/>
          <w:color w:val="365F91" w:themeColor="accent1" w:themeShade="BF"/>
        </w:rPr>
        <w:t>Serious and other incidents and consistency of reporting requirements</w:t>
      </w:r>
    </w:p>
    <w:p w14:paraId="505644C8" w14:textId="77777777" w:rsidR="009D011F" w:rsidRPr="002E4410" w:rsidRDefault="009D011F" w:rsidP="009D011F">
      <w:pPr>
        <w:pStyle w:val="ListParagraph"/>
        <w:numPr>
          <w:ilvl w:val="0"/>
          <w:numId w:val="30"/>
        </w:numPr>
        <w:rPr>
          <w:rFonts w:eastAsiaTheme="majorEastAsia"/>
          <w:color w:val="365F91" w:themeColor="accent1" w:themeShade="BF"/>
        </w:rPr>
      </w:pPr>
      <w:r w:rsidRPr="002E4410">
        <w:rPr>
          <w:rFonts w:eastAsiaTheme="majorEastAsia"/>
          <w:color w:val="365F91" w:themeColor="accent1" w:themeShade="BF"/>
        </w:rPr>
        <w:t>serious incidents definition and reporting</w:t>
      </w:r>
    </w:p>
    <w:p w14:paraId="18998B85" w14:textId="77777777" w:rsidR="002E4410" w:rsidRPr="002E4410" w:rsidRDefault="002E4410" w:rsidP="009D011F">
      <w:pPr>
        <w:pStyle w:val="ListParagraph"/>
        <w:numPr>
          <w:ilvl w:val="0"/>
          <w:numId w:val="30"/>
        </w:numPr>
        <w:rPr>
          <w:rFonts w:eastAsiaTheme="majorEastAsia"/>
          <w:color w:val="365F91" w:themeColor="accent1" w:themeShade="BF"/>
        </w:rPr>
      </w:pPr>
      <w:r w:rsidRPr="002E4410">
        <w:rPr>
          <w:rFonts w:eastAsiaTheme="majorEastAsia"/>
          <w:color w:val="365F91" w:themeColor="accent1" w:themeShade="BF"/>
        </w:rPr>
        <w:t>broader data reporting requirements</w:t>
      </w:r>
    </w:p>
    <w:p w14:paraId="558A1F25" w14:textId="77777777" w:rsidR="002E4410" w:rsidRPr="002E4410" w:rsidRDefault="002E4410" w:rsidP="009D011F">
      <w:pPr>
        <w:pStyle w:val="ListParagraph"/>
        <w:numPr>
          <w:ilvl w:val="0"/>
          <w:numId w:val="30"/>
        </w:numPr>
        <w:rPr>
          <w:rFonts w:eastAsiaTheme="majorEastAsia"/>
          <w:color w:val="365F91" w:themeColor="accent1" w:themeShade="BF"/>
        </w:rPr>
      </w:pPr>
      <w:r w:rsidRPr="002E4410">
        <w:rPr>
          <w:rFonts w:eastAsiaTheme="majorEastAsia"/>
          <w:color w:val="365F91" w:themeColor="accent1" w:themeShade="BF"/>
        </w:rPr>
        <w:t>research outcomes, end-of-trial report, sensitive information</w:t>
      </w:r>
    </w:p>
    <w:p w14:paraId="2ED9A044" w14:textId="77777777" w:rsidR="009D011F" w:rsidRDefault="009D011F" w:rsidP="00403269">
      <w:pPr>
        <w:autoSpaceDE/>
        <w:autoSpaceDN/>
        <w:adjustRightInd/>
        <w:spacing w:after="160" w:line="259" w:lineRule="auto"/>
        <w:rPr>
          <w:b/>
          <w:bCs/>
          <w:sz w:val="21"/>
          <w:szCs w:val="21"/>
        </w:rPr>
      </w:pPr>
    </w:p>
    <w:p w14:paraId="6DE611AA" w14:textId="77777777" w:rsidR="00320083" w:rsidRDefault="009D011F" w:rsidP="00F96F45">
      <w:pPr>
        <w:jc w:val="both"/>
        <w:rPr>
          <w:b/>
          <w:bCs/>
        </w:rPr>
      </w:pPr>
      <w:r>
        <w:rPr>
          <w:b/>
          <w:bCs/>
        </w:rPr>
        <w:t xml:space="preserve">Disengagements and Serious/Other Incidents – Consistency, Reporting &amp; </w:t>
      </w:r>
      <w:r w:rsidR="008E73F9">
        <w:rPr>
          <w:b/>
          <w:bCs/>
        </w:rPr>
        <w:t>Definitions</w:t>
      </w:r>
    </w:p>
    <w:p w14:paraId="2E40931B" w14:textId="77777777" w:rsidR="00F96F45" w:rsidRPr="00F96F45" w:rsidRDefault="00F96F45" w:rsidP="00F96F45">
      <w:pPr>
        <w:jc w:val="both"/>
        <w:rPr>
          <w:b/>
          <w:bCs/>
        </w:rPr>
      </w:pPr>
    </w:p>
    <w:p w14:paraId="7E583F75" w14:textId="77777777" w:rsidR="00320083" w:rsidRDefault="00320083" w:rsidP="00320083">
      <w:pPr>
        <w:autoSpaceDE/>
        <w:autoSpaceDN/>
        <w:adjustRightInd/>
        <w:spacing w:after="160" w:line="259" w:lineRule="auto"/>
        <w:jc w:val="both"/>
        <w:rPr>
          <w:sz w:val="21"/>
          <w:szCs w:val="21"/>
        </w:rPr>
      </w:pPr>
      <w:r w:rsidRPr="00320083">
        <w:rPr>
          <w:sz w:val="21"/>
          <w:szCs w:val="21"/>
        </w:rPr>
        <w:t>The suggestion for the guidelines to specify a monthly reporting requirement for ‘disengagements’ in</w:t>
      </w:r>
      <w:r>
        <w:rPr>
          <w:sz w:val="21"/>
          <w:szCs w:val="21"/>
        </w:rPr>
        <w:t xml:space="preserve"> v</w:t>
      </w:r>
      <w:r w:rsidRPr="00320083">
        <w:rPr>
          <w:sz w:val="21"/>
          <w:szCs w:val="21"/>
        </w:rPr>
        <w:t>ehicles without a human operator as well, is supported for safety management and reporting consistency across trials.</w:t>
      </w:r>
    </w:p>
    <w:p w14:paraId="1A8764BE" w14:textId="77777777" w:rsidR="009D011F" w:rsidRPr="00320083" w:rsidRDefault="009D011F" w:rsidP="00320083">
      <w:pPr>
        <w:autoSpaceDE/>
        <w:autoSpaceDN/>
        <w:adjustRightInd/>
        <w:spacing w:after="160" w:line="259" w:lineRule="auto"/>
        <w:jc w:val="both"/>
        <w:rPr>
          <w:sz w:val="21"/>
          <w:szCs w:val="21"/>
        </w:rPr>
      </w:pPr>
      <w:r w:rsidRPr="00320083">
        <w:rPr>
          <w:sz w:val="21"/>
          <w:szCs w:val="21"/>
        </w:rPr>
        <w:t>Consistency in reporting may be a function of whether definitions are provided to guide incident reporting. In the Karragarra trial, the jurisdiction required monthly reports throughout the trial detailing patronage, serious and non-serious incidents and remediation action taken (as well as other information as required). Emergency stops (e-stops) were specified as a non-serious incident and were subsequently reported.</w:t>
      </w:r>
    </w:p>
    <w:p w14:paraId="57307C9A" w14:textId="471C7E15" w:rsidR="009D011F" w:rsidRDefault="009D011F" w:rsidP="00320083">
      <w:pPr>
        <w:autoSpaceDE/>
        <w:autoSpaceDN/>
        <w:adjustRightInd/>
        <w:spacing w:after="160" w:line="259" w:lineRule="auto"/>
        <w:jc w:val="both"/>
        <w:rPr>
          <w:sz w:val="21"/>
          <w:szCs w:val="21"/>
        </w:rPr>
      </w:pPr>
      <w:r w:rsidRPr="00320083">
        <w:rPr>
          <w:sz w:val="21"/>
          <w:szCs w:val="21"/>
        </w:rPr>
        <w:t xml:space="preserve">It soon became apparent that TMR defined e-stops as an indicator of a “near miss”. This is a very broad definition and </w:t>
      </w:r>
      <w:proofErr w:type="gramStart"/>
      <w:r w:rsidRPr="00320083">
        <w:rPr>
          <w:sz w:val="21"/>
          <w:szCs w:val="21"/>
        </w:rPr>
        <w:t>doesn’t</w:t>
      </w:r>
      <w:proofErr w:type="gramEnd"/>
      <w:r w:rsidRPr="00320083">
        <w:rPr>
          <w:sz w:val="21"/>
          <w:szCs w:val="21"/>
        </w:rPr>
        <w:t xml:space="preserve"> acknowledge that it is actually a measure of the AV’s safety chain response to external stimuli. This safety chain is programmed to trigger an e-stop when an object is detected within its safety zone (which is very conservative), but this does not necessarily translate into an immediate risk of a collision or serious incident</w:t>
      </w:r>
      <w:r w:rsidR="00320083">
        <w:rPr>
          <w:sz w:val="21"/>
          <w:szCs w:val="21"/>
        </w:rPr>
        <w:t xml:space="preserve"> </w:t>
      </w:r>
      <w:r w:rsidRPr="00320083">
        <w:rPr>
          <w:sz w:val="21"/>
          <w:szCs w:val="21"/>
        </w:rPr>
        <w:t>– e-stops can be triggered by vegetation on the side of the road or birds flying in front of the vehicle.</w:t>
      </w:r>
    </w:p>
    <w:p w14:paraId="7A2906E5" w14:textId="77777777" w:rsidR="00320083" w:rsidRPr="00320083" w:rsidRDefault="00320083" w:rsidP="00320083">
      <w:pPr>
        <w:autoSpaceDE/>
        <w:autoSpaceDN/>
        <w:adjustRightInd/>
        <w:spacing w:after="160" w:line="259" w:lineRule="auto"/>
        <w:jc w:val="both"/>
        <w:rPr>
          <w:sz w:val="21"/>
          <w:szCs w:val="21"/>
        </w:rPr>
      </w:pPr>
      <w:r>
        <w:rPr>
          <w:sz w:val="21"/>
          <w:szCs w:val="21"/>
        </w:rPr>
        <w:t>It should also be recognised that d</w:t>
      </w:r>
      <w:r w:rsidRPr="00320083">
        <w:rPr>
          <w:sz w:val="21"/>
          <w:szCs w:val="21"/>
        </w:rPr>
        <w:t xml:space="preserve">isengagements </w:t>
      </w:r>
      <w:r>
        <w:rPr>
          <w:sz w:val="21"/>
          <w:szCs w:val="21"/>
        </w:rPr>
        <w:t>or e-stops are</w:t>
      </w:r>
      <w:r w:rsidRPr="00320083">
        <w:rPr>
          <w:sz w:val="21"/>
          <w:szCs w:val="21"/>
        </w:rPr>
        <w:t xml:space="preserve"> </w:t>
      </w:r>
      <w:r>
        <w:rPr>
          <w:sz w:val="21"/>
          <w:szCs w:val="21"/>
        </w:rPr>
        <w:t>evidence</w:t>
      </w:r>
      <w:r w:rsidRPr="00320083">
        <w:rPr>
          <w:sz w:val="21"/>
          <w:szCs w:val="21"/>
        </w:rPr>
        <w:t xml:space="preserve"> that the system is operating as intended and safely </w:t>
      </w:r>
      <w:r>
        <w:rPr>
          <w:sz w:val="21"/>
          <w:szCs w:val="21"/>
        </w:rPr>
        <w:t>by</w:t>
      </w:r>
      <w:r w:rsidRPr="00320083">
        <w:rPr>
          <w:sz w:val="21"/>
          <w:szCs w:val="21"/>
        </w:rPr>
        <w:t xml:space="preserve"> responding in the expected way during an event that is not within the ODD or vehicle's capabilities to respond to safely.</w:t>
      </w:r>
    </w:p>
    <w:p w14:paraId="2C8373A2" w14:textId="77777777" w:rsidR="00EF78A6" w:rsidRDefault="002E4410" w:rsidP="00EF78A6">
      <w:pPr>
        <w:rPr>
          <w:b/>
          <w:bCs/>
        </w:rPr>
      </w:pPr>
      <w:r w:rsidRPr="00EF78A6">
        <w:rPr>
          <w:b/>
          <w:bCs/>
        </w:rPr>
        <w:t>Broader Data Reporting Requirements</w:t>
      </w:r>
    </w:p>
    <w:p w14:paraId="49F7D7E1" w14:textId="77777777" w:rsidR="00EF78A6" w:rsidRPr="00EF78A6" w:rsidRDefault="00EF78A6" w:rsidP="00EF78A6">
      <w:pPr>
        <w:rPr>
          <w:b/>
          <w:bCs/>
        </w:rPr>
      </w:pPr>
    </w:p>
    <w:p w14:paraId="4421BE43" w14:textId="16A92B50" w:rsidR="00EF78A6" w:rsidRPr="00EF78A6" w:rsidRDefault="00EF78A6" w:rsidP="00EF78A6">
      <w:pPr>
        <w:autoSpaceDE/>
        <w:autoSpaceDN/>
        <w:adjustRightInd/>
        <w:spacing w:after="160" w:line="259" w:lineRule="auto"/>
        <w:jc w:val="both"/>
        <w:rPr>
          <w:sz w:val="21"/>
          <w:szCs w:val="21"/>
        </w:rPr>
      </w:pPr>
      <w:r w:rsidRPr="00EF78A6">
        <w:rPr>
          <w:sz w:val="21"/>
          <w:szCs w:val="21"/>
        </w:rPr>
        <w:lastRenderedPageBreak/>
        <w:t>The NTC’s position that the guidelines strike a balance between high-level guidance and prescription in relation to incident reporting by stating the information that should be reported to the road transport agency but not explicitly stating types of data that should be recorded, is supported.</w:t>
      </w:r>
    </w:p>
    <w:p w14:paraId="5D8CDCEA" w14:textId="77777777" w:rsidR="002E4410" w:rsidRPr="00EF78A6" w:rsidRDefault="00EF78A6" w:rsidP="00EF78A6">
      <w:pPr>
        <w:autoSpaceDE/>
        <w:autoSpaceDN/>
        <w:adjustRightInd/>
        <w:spacing w:after="160" w:line="259" w:lineRule="auto"/>
        <w:jc w:val="both"/>
        <w:rPr>
          <w:sz w:val="21"/>
          <w:szCs w:val="21"/>
        </w:rPr>
      </w:pPr>
      <w:r w:rsidRPr="00EF78A6">
        <w:rPr>
          <w:sz w:val="21"/>
          <w:szCs w:val="21"/>
        </w:rPr>
        <w:t xml:space="preserve">While it is understood the guideline updates are attempting to more closely align with the first supply criteria to facilitate commercial deployment, this may not be practical for most trials as noted earlier </w:t>
      </w:r>
      <w:r w:rsidR="002E4410" w:rsidRPr="00EF78A6">
        <w:rPr>
          <w:sz w:val="21"/>
          <w:szCs w:val="21"/>
        </w:rPr>
        <w:t>the ADSE may not be the vehicle owner/operator and regularly involved in the trial. Additionally, sharing of this data by the ADSE without involvement of the vehicle owner/operator undertaking the trial may breach commercial arrangements</w:t>
      </w:r>
      <w:r w:rsidRPr="00EF78A6">
        <w:rPr>
          <w:sz w:val="21"/>
          <w:szCs w:val="21"/>
        </w:rPr>
        <w:t xml:space="preserve">. The suggestion to further align with the safety criteria for commercial deployment by having some basic requirements on trialling organisations to show how they will record relevant data (examples shown in Figure 2) may not be practical for all trialling organisations – particularly those which do not intend to scale up to a commercial deployment model. Whether or not the ADSE is a trialling organisation, and </w:t>
      </w:r>
      <w:proofErr w:type="gramStart"/>
      <w:r w:rsidRPr="00EF78A6">
        <w:rPr>
          <w:sz w:val="21"/>
          <w:szCs w:val="21"/>
        </w:rPr>
        <w:t>whether or not</w:t>
      </w:r>
      <w:proofErr w:type="gramEnd"/>
      <w:r w:rsidRPr="00EF78A6">
        <w:rPr>
          <w:sz w:val="21"/>
          <w:szCs w:val="21"/>
        </w:rPr>
        <w:t xml:space="preserve"> the trial will evolve to commercial deployment should be considered before applying additional and potentially onerous data reporting requirements. </w:t>
      </w:r>
    </w:p>
    <w:p w14:paraId="0003EF47" w14:textId="77777777" w:rsidR="00EF78A6" w:rsidRDefault="00EF78A6" w:rsidP="00EF78A6">
      <w:pPr>
        <w:keepNext/>
        <w:autoSpaceDE/>
        <w:autoSpaceDN/>
        <w:adjustRightInd/>
        <w:spacing w:after="160" w:line="259" w:lineRule="auto"/>
      </w:pPr>
      <w:r>
        <w:rPr>
          <w:noProof/>
        </w:rPr>
        <w:drawing>
          <wp:inline distT="0" distB="0" distL="0" distR="0" wp14:anchorId="027BB956" wp14:editId="5F81C785">
            <wp:extent cx="5562600" cy="13034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621"/>
                    <a:stretch/>
                  </pic:blipFill>
                  <pic:spPr bwMode="auto">
                    <a:xfrm>
                      <a:off x="0" y="0"/>
                      <a:ext cx="5562600" cy="1303488"/>
                    </a:xfrm>
                    <a:prstGeom prst="rect">
                      <a:avLst/>
                    </a:prstGeom>
                    <a:ln>
                      <a:noFill/>
                    </a:ln>
                    <a:extLst>
                      <a:ext uri="{53640926-AAD7-44D8-BBD7-CCE9431645EC}">
                        <a14:shadowObscured xmlns:a14="http://schemas.microsoft.com/office/drawing/2010/main"/>
                      </a:ext>
                    </a:extLst>
                  </pic:spPr>
                </pic:pic>
              </a:graphicData>
            </a:graphic>
          </wp:inline>
        </w:drawing>
      </w:r>
    </w:p>
    <w:p w14:paraId="31FF2A58" w14:textId="77777777" w:rsidR="00EF78A6" w:rsidRPr="00EF78A6" w:rsidRDefault="00EF78A6" w:rsidP="00EF78A6">
      <w:pPr>
        <w:pStyle w:val="Caption"/>
        <w:rPr>
          <w:i/>
          <w:iCs/>
          <w:sz w:val="18"/>
          <w:szCs w:val="18"/>
        </w:rPr>
      </w:pPr>
      <w:r w:rsidRPr="00EF78A6">
        <w:rPr>
          <w:sz w:val="18"/>
          <w:szCs w:val="18"/>
        </w:rPr>
        <w:t xml:space="preserve">Figure </w:t>
      </w:r>
      <w:r w:rsidRPr="00EF78A6">
        <w:rPr>
          <w:sz w:val="18"/>
          <w:szCs w:val="18"/>
        </w:rPr>
        <w:fldChar w:fldCharType="begin"/>
      </w:r>
      <w:r w:rsidRPr="00EF78A6">
        <w:rPr>
          <w:sz w:val="18"/>
          <w:szCs w:val="18"/>
        </w:rPr>
        <w:instrText xml:space="preserve"> SEQ Figure \* ARABIC </w:instrText>
      </w:r>
      <w:r w:rsidRPr="00EF78A6">
        <w:rPr>
          <w:sz w:val="18"/>
          <w:szCs w:val="18"/>
        </w:rPr>
        <w:fldChar w:fldCharType="separate"/>
      </w:r>
      <w:r w:rsidRPr="00EF78A6">
        <w:rPr>
          <w:noProof/>
          <w:sz w:val="18"/>
          <w:szCs w:val="18"/>
        </w:rPr>
        <w:t>2</w:t>
      </w:r>
      <w:r w:rsidRPr="00EF78A6">
        <w:rPr>
          <w:sz w:val="18"/>
          <w:szCs w:val="18"/>
        </w:rPr>
        <w:fldChar w:fldCharType="end"/>
      </w:r>
      <w:r w:rsidRPr="00EF78A6">
        <w:rPr>
          <w:sz w:val="18"/>
          <w:szCs w:val="18"/>
        </w:rPr>
        <w:t>: NTC suggested data reporting requirements</w:t>
      </w:r>
    </w:p>
    <w:p w14:paraId="25084A9D" w14:textId="77777777" w:rsidR="002E4410" w:rsidRDefault="002E4410" w:rsidP="008F1AC1"/>
    <w:p w14:paraId="4A2325C4" w14:textId="77777777" w:rsidR="008E73F9" w:rsidRDefault="008E73F9" w:rsidP="008E73F9">
      <w:pPr>
        <w:rPr>
          <w:b/>
          <w:bCs/>
        </w:rPr>
      </w:pPr>
      <w:r>
        <w:rPr>
          <w:b/>
          <w:bCs/>
        </w:rPr>
        <w:t>Research Outcomes, End of Trial Report and Sensitive Information</w:t>
      </w:r>
    </w:p>
    <w:p w14:paraId="416C9F4A" w14:textId="77777777" w:rsidR="008E73F9" w:rsidRDefault="008E73F9" w:rsidP="008F1AC1"/>
    <w:p w14:paraId="7F27BC2F" w14:textId="77777777" w:rsidR="00EF78A6" w:rsidRPr="00EF78A6" w:rsidRDefault="00EF78A6" w:rsidP="00EF78A6">
      <w:pPr>
        <w:jc w:val="both"/>
        <w:rPr>
          <w:sz w:val="21"/>
          <w:szCs w:val="21"/>
        </w:rPr>
      </w:pPr>
      <w:r w:rsidRPr="00EF78A6">
        <w:rPr>
          <w:sz w:val="21"/>
          <w:szCs w:val="21"/>
        </w:rPr>
        <w:t xml:space="preserve">The suggestion </w:t>
      </w:r>
      <w:r w:rsidRPr="00EF78A6">
        <w:rPr>
          <w:rStyle w:val="fontstyle01"/>
          <w:rFonts w:ascii="Arial" w:hAnsi="Arial"/>
          <w:sz w:val="21"/>
          <w:szCs w:val="21"/>
        </w:rPr>
        <w:t>guidance about what could be</w:t>
      </w:r>
      <w:r w:rsidRPr="00EF78A6">
        <w:rPr>
          <w:color w:val="000000"/>
          <w:sz w:val="21"/>
          <w:szCs w:val="21"/>
        </w:rPr>
        <w:t xml:space="preserve"> </w:t>
      </w:r>
      <w:r w:rsidRPr="00EF78A6">
        <w:rPr>
          <w:rStyle w:val="fontstyle01"/>
          <w:rFonts w:ascii="Arial" w:hAnsi="Arial"/>
          <w:sz w:val="21"/>
          <w:szCs w:val="21"/>
        </w:rPr>
        <w:t>included in an end-of-trial report is supported. This could be streamlined by developing a t</w:t>
      </w:r>
      <w:r w:rsidR="008E73F9" w:rsidRPr="00EF78A6">
        <w:rPr>
          <w:sz w:val="21"/>
          <w:szCs w:val="21"/>
        </w:rPr>
        <w:t xml:space="preserve">emplate for reporting requirements </w:t>
      </w:r>
      <w:r w:rsidRPr="00EF78A6">
        <w:rPr>
          <w:sz w:val="21"/>
          <w:szCs w:val="21"/>
        </w:rPr>
        <w:t>and would be helpful to trialling agencies</w:t>
      </w:r>
      <w:r w:rsidR="008E73F9" w:rsidRPr="00EF78A6">
        <w:rPr>
          <w:sz w:val="21"/>
          <w:szCs w:val="21"/>
        </w:rPr>
        <w:t xml:space="preserve"> to ensure less cumbersome reporting requirements. </w:t>
      </w:r>
    </w:p>
    <w:p w14:paraId="326B6344" w14:textId="77777777" w:rsidR="00EF78A6" w:rsidRPr="00EF78A6" w:rsidRDefault="00EF78A6" w:rsidP="00EF78A6">
      <w:pPr>
        <w:jc w:val="both"/>
        <w:rPr>
          <w:sz w:val="21"/>
          <w:szCs w:val="21"/>
        </w:rPr>
      </w:pPr>
    </w:p>
    <w:p w14:paraId="5CCBFBD9" w14:textId="77777777" w:rsidR="008E73F9" w:rsidRPr="00EF78A6" w:rsidRDefault="00EF78A6" w:rsidP="00EF78A6">
      <w:pPr>
        <w:jc w:val="both"/>
        <w:rPr>
          <w:sz w:val="21"/>
          <w:szCs w:val="21"/>
        </w:rPr>
      </w:pPr>
      <w:r w:rsidRPr="00EF78A6">
        <w:rPr>
          <w:sz w:val="21"/>
          <w:szCs w:val="21"/>
        </w:rPr>
        <w:t>Regarding sensitive information, we consider a potential solution would be</w:t>
      </w:r>
      <w:r w:rsidR="008E73F9" w:rsidRPr="00EF78A6">
        <w:rPr>
          <w:sz w:val="21"/>
          <w:szCs w:val="21"/>
        </w:rPr>
        <w:t xml:space="preserve"> to implement a provision in the application process for all parties to agree on reporting requirements</w:t>
      </w:r>
      <w:r>
        <w:rPr>
          <w:sz w:val="21"/>
          <w:szCs w:val="21"/>
        </w:rPr>
        <w:t>, particularly those related,</w:t>
      </w:r>
      <w:r w:rsidRPr="00EF78A6">
        <w:rPr>
          <w:sz w:val="21"/>
          <w:szCs w:val="21"/>
        </w:rPr>
        <w:t xml:space="preserve"> prior to the commencement of the trial</w:t>
      </w:r>
      <w:r w:rsidR="008E73F9" w:rsidRPr="00EF78A6">
        <w:rPr>
          <w:sz w:val="21"/>
          <w:szCs w:val="21"/>
        </w:rPr>
        <w:t>.</w:t>
      </w:r>
      <w:r>
        <w:rPr>
          <w:sz w:val="21"/>
          <w:szCs w:val="21"/>
        </w:rPr>
        <w:t xml:space="preserve"> This may also include agreements </w:t>
      </w:r>
      <w:r w:rsidR="00C975FF">
        <w:rPr>
          <w:sz w:val="21"/>
          <w:szCs w:val="21"/>
        </w:rPr>
        <w:t>related to prohibiting sharing/release/publication of sensitive information.</w:t>
      </w:r>
      <w:r w:rsidR="008E73F9" w:rsidRPr="00EF78A6">
        <w:rPr>
          <w:sz w:val="21"/>
          <w:szCs w:val="21"/>
        </w:rPr>
        <w:t xml:space="preserve">  </w:t>
      </w:r>
    </w:p>
    <w:p w14:paraId="18898D00" w14:textId="77777777" w:rsidR="00F159E1" w:rsidRDefault="00F159E1" w:rsidP="008E73F9"/>
    <w:p w14:paraId="6FF2F251" w14:textId="77777777" w:rsidR="003653EC" w:rsidRDefault="003653EC" w:rsidP="008E73F9"/>
    <w:p w14:paraId="56470BE7" w14:textId="77777777" w:rsidR="003653EC" w:rsidRPr="003653EC" w:rsidRDefault="003653EC" w:rsidP="0087285C">
      <w:pPr>
        <w:pStyle w:val="ListParagraph"/>
        <w:numPr>
          <w:ilvl w:val="0"/>
          <w:numId w:val="27"/>
        </w:numPr>
        <w:jc w:val="both"/>
        <w:rPr>
          <w:rFonts w:eastAsiaTheme="majorEastAsia"/>
          <w:color w:val="365F91" w:themeColor="accent1" w:themeShade="BF"/>
        </w:rPr>
      </w:pPr>
      <w:r w:rsidRPr="003653EC">
        <w:rPr>
          <w:rFonts w:eastAsiaTheme="majorEastAsia"/>
          <w:i/>
          <w:iCs/>
          <w:color w:val="365F91" w:themeColor="accent1" w:themeShade="BF"/>
        </w:rPr>
        <w:t xml:space="preserve"> </w:t>
      </w:r>
      <w:r w:rsidRPr="003653EC">
        <w:rPr>
          <w:rFonts w:eastAsiaTheme="majorEastAsia"/>
          <w:color w:val="365F91" w:themeColor="accent1" w:themeShade="BF"/>
        </w:rPr>
        <w:t>Is there any additional information the guidelines should include for trialling organisations?</w:t>
      </w:r>
    </w:p>
    <w:p w14:paraId="7EA08E22" w14:textId="77777777" w:rsidR="003653EC" w:rsidRDefault="003653EC" w:rsidP="003653EC"/>
    <w:p w14:paraId="707999CC" w14:textId="77777777" w:rsidR="0018311F" w:rsidRDefault="0018311F" w:rsidP="0018311F">
      <w:pPr>
        <w:jc w:val="both"/>
        <w:rPr>
          <w:sz w:val="21"/>
          <w:szCs w:val="21"/>
        </w:rPr>
      </w:pPr>
      <w:r w:rsidRPr="0018311F">
        <w:rPr>
          <w:sz w:val="21"/>
          <w:szCs w:val="21"/>
        </w:rPr>
        <w:t>The guidelines currently contain no</w:t>
      </w:r>
      <w:r>
        <w:t xml:space="preserve"> </w:t>
      </w:r>
      <w:r w:rsidR="003653EC" w:rsidRPr="00F159E1">
        <w:rPr>
          <w:sz w:val="21"/>
          <w:szCs w:val="21"/>
        </w:rPr>
        <w:t xml:space="preserve">information about skill sets required to prepare an application, </w:t>
      </w:r>
      <w:proofErr w:type="gramStart"/>
      <w:r w:rsidR="003653EC" w:rsidRPr="00F159E1">
        <w:rPr>
          <w:sz w:val="21"/>
          <w:szCs w:val="21"/>
        </w:rPr>
        <w:t>facilitate</w:t>
      </w:r>
      <w:proofErr w:type="gramEnd"/>
      <w:r w:rsidR="003653EC" w:rsidRPr="00F159E1">
        <w:rPr>
          <w:sz w:val="21"/>
          <w:szCs w:val="21"/>
        </w:rPr>
        <w:t xml:space="preserve"> or implement trials</w:t>
      </w:r>
      <w:r>
        <w:rPr>
          <w:sz w:val="21"/>
          <w:szCs w:val="21"/>
        </w:rPr>
        <w:t xml:space="preserve"> (e.g. traffic engineers). Outlining skillsets required for application elements would assist trialling organisations with evaluating whether they have the skills or funds to outsource where required, and thereby evaluate the overall viability. </w:t>
      </w:r>
    </w:p>
    <w:p w14:paraId="040E133C" w14:textId="77777777" w:rsidR="0018311F" w:rsidRDefault="0018311F" w:rsidP="0018311F">
      <w:pPr>
        <w:jc w:val="both"/>
        <w:rPr>
          <w:sz w:val="21"/>
          <w:szCs w:val="21"/>
        </w:rPr>
      </w:pPr>
    </w:p>
    <w:p w14:paraId="2B049C78" w14:textId="77777777" w:rsidR="003653EC" w:rsidRDefault="0018311F" w:rsidP="008B694B">
      <w:pPr>
        <w:jc w:val="both"/>
      </w:pPr>
      <w:r>
        <w:rPr>
          <w:sz w:val="21"/>
          <w:szCs w:val="21"/>
        </w:rPr>
        <w:t xml:space="preserve">It </w:t>
      </w:r>
      <w:r w:rsidR="003653EC" w:rsidRPr="00F159E1">
        <w:rPr>
          <w:sz w:val="21"/>
          <w:szCs w:val="21"/>
        </w:rPr>
        <w:t>would</w:t>
      </w:r>
      <w:r>
        <w:rPr>
          <w:sz w:val="21"/>
          <w:szCs w:val="21"/>
        </w:rPr>
        <w:t xml:space="preserve"> also</w:t>
      </w:r>
      <w:r w:rsidR="003653EC" w:rsidRPr="00F159E1">
        <w:rPr>
          <w:sz w:val="21"/>
          <w:szCs w:val="21"/>
        </w:rPr>
        <w:t xml:space="preserve"> be </w:t>
      </w:r>
      <w:r>
        <w:rPr>
          <w:sz w:val="21"/>
          <w:szCs w:val="21"/>
        </w:rPr>
        <w:t>valuable</w:t>
      </w:r>
      <w:r w:rsidR="003653EC" w:rsidRPr="00F159E1">
        <w:rPr>
          <w:sz w:val="21"/>
          <w:szCs w:val="21"/>
        </w:rPr>
        <w:t xml:space="preserve"> if the guidelines provided examples (</w:t>
      </w:r>
      <w:r>
        <w:rPr>
          <w:sz w:val="21"/>
          <w:szCs w:val="21"/>
        </w:rPr>
        <w:t xml:space="preserve">e.g. from </w:t>
      </w:r>
      <w:r w:rsidR="003653EC" w:rsidRPr="00F159E1">
        <w:rPr>
          <w:sz w:val="21"/>
          <w:szCs w:val="21"/>
        </w:rPr>
        <w:t xml:space="preserve">other trials) of </w:t>
      </w:r>
      <w:r>
        <w:rPr>
          <w:sz w:val="21"/>
          <w:szCs w:val="21"/>
        </w:rPr>
        <w:t>any</w:t>
      </w:r>
      <w:r w:rsidR="003653EC" w:rsidRPr="00F159E1">
        <w:rPr>
          <w:sz w:val="21"/>
          <w:szCs w:val="21"/>
        </w:rPr>
        <w:t xml:space="preserve"> partnerships that were required for a successful trial. This would provide greater context of the work involved to deploy an AV, particularly for non-service provider agencies (i.e. local governments). </w:t>
      </w:r>
    </w:p>
    <w:p w14:paraId="6AF37FDB" w14:textId="77777777" w:rsidR="008E73F9" w:rsidRDefault="008E73F9" w:rsidP="008F1AC1"/>
    <w:p w14:paraId="1A7CF3B7" w14:textId="77777777" w:rsidR="00F159E1" w:rsidRPr="00F159E1" w:rsidRDefault="00F159E1" w:rsidP="0087285C">
      <w:pPr>
        <w:pStyle w:val="ListParagraph"/>
        <w:numPr>
          <w:ilvl w:val="0"/>
          <w:numId w:val="27"/>
        </w:numPr>
        <w:jc w:val="both"/>
        <w:rPr>
          <w:rFonts w:eastAsiaTheme="majorEastAsia"/>
          <w:color w:val="365F91" w:themeColor="accent1" w:themeShade="BF"/>
        </w:rPr>
      </w:pPr>
      <w:r w:rsidRPr="00F159E1">
        <w:rPr>
          <w:rFonts w:eastAsiaTheme="majorEastAsia"/>
          <w:color w:val="365F91" w:themeColor="accent1" w:themeShade="BF"/>
        </w:rPr>
        <w:t>Should the guidelines apply to any other emerging technologies (discussed in chapter 4 or other technologies) and operating domains?</w:t>
      </w:r>
    </w:p>
    <w:p w14:paraId="469E7066" w14:textId="77777777" w:rsidR="00F159E1" w:rsidRPr="00F159E1" w:rsidRDefault="00F159E1" w:rsidP="00F159E1">
      <w:pPr>
        <w:pStyle w:val="ListParagraph"/>
        <w:ind w:left="0"/>
        <w:rPr>
          <w:sz w:val="21"/>
          <w:szCs w:val="21"/>
        </w:rPr>
      </w:pPr>
    </w:p>
    <w:p w14:paraId="474AC661" w14:textId="77777777" w:rsidR="005A2D3F" w:rsidRDefault="008B694B" w:rsidP="008B694B">
      <w:pPr>
        <w:pStyle w:val="ListParagraph"/>
        <w:ind w:left="0"/>
        <w:jc w:val="both"/>
      </w:pPr>
      <w:r>
        <w:rPr>
          <w:sz w:val="21"/>
          <w:szCs w:val="21"/>
        </w:rPr>
        <w:t>In the rapidly evolving mobility technology environment, where emerging technologies have no alternative reference point,</w:t>
      </w:r>
      <w:r w:rsidR="00F159E1" w:rsidRPr="00F159E1">
        <w:rPr>
          <w:sz w:val="21"/>
          <w:szCs w:val="21"/>
        </w:rPr>
        <w:t xml:space="preserve"> </w:t>
      </w:r>
      <w:r>
        <w:rPr>
          <w:sz w:val="21"/>
          <w:szCs w:val="21"/>
        </w:rPr>
        <w:t>t</w:t>
      </w:r>
      <w:r w:rsidR="00F159E1" w:rsidRPr="00F159E1">
        <w:rPr>
          <w:sz w:val="21"/>
          <w:szCs w:val="21"/>
        </w:rPr>
        <w:t>he guidelines</w:t>
      </w:r>
      <w:r>
        <w:rPr>
          <w:sz w:val="21"/>
          <w:szCs w:val="21"/>
        </w:rPr>
        <w:t xml:space="preserve"> could be a valuable starting point and</w:t>
      </w:r>
      <w:r w:rsidR="00F159E1" w:rsidRPr="00F159E1">
        <w:rPr>
          <w:sz w:val="21"/>
          <w:szCs w:val="21"/>
        </w:rPr>
        <w:t xml:space="preserve"> should be flexible to be easily adapted to new technologies. </w:t>
      </w:r>
    </w:p>
    <w:p w14:paraId="1AA96277" w14:textId="77777777" w:rsidR="00F159E1" w:rsidRDefault="00F159E1" w:rsidP="00706346">
      <w:pPr>
        <w:autoSpaceDE/>
        <w:autoSpaceDN/>
        <w:adjustRightInd/>
        <w:jc w:val="both"/>
      </w:pPr>
    </w:p>
    <w:p w14:paraId="6F331FEE" w14:textId="77777777" w:rsidR="00F159E1" w:rsidRPr="00F159E1" w:rsidRDefault="00F159E1" w:rsidP="00F159E1">
      <w:pPr>
        <w:pStyle w:val="ListParagraph"/>
        <w:numPr>
          <w:ilvl w:val="0"/>
          <w:numId w:val="27"/>
        </w:numPr>
        <w:autoSpaceDE/>
        <w:autoSpaceDN/>
        <w:adjustRightInd/>
        <w:jc w:val="both"/>
      </w:pPr>
      <w:r w:rsidRPr="00F159E1">
        <w:rPr>
          <w:rFonts w:eastAsiaTheme="majorEastAsia"/>
          <w:color w:val="365F91" w:themeColor="accent1" w:themeShade="BF"/>
        </w:rPr>
        <w:lastRenderedPageBreak/>
        <w:t>Are there any additional criteria or additional matters relevant to the trials of automated heavy vehicles that should be included in the guidelines?</w:t>
      </w:r>
    </w:p>
    <w:p w14:paraId="175CF037" w14:textId="77777777" w:rsidR="00F159E1" w:rsidRDefault="00F159E1" w:rsidP="00F159E1">
      <w:pPr>
        <w:autoSpaceDE/>
        <w:autoSpaceDN/>
        <w:adjustRightInd/>
        <w:jc w:val="both"/>
      </w:pPr>
    </w:p>
    <w:p w14:paraId="6378201B" w14:textId="77777777" w:rsidR="00F159E1" w:rsidRPr="00F159E1" w:rsidRDefault="00F96F45" w:rsidP="00F159E1">
      <w:pPr>
        <w:autoSpaceDE/>
        <w:autoSpaceDN/>
        <w:adjustRightInd/>
        <w:jc w:val="both"/>
        <w:rPr>
          <w:sz w:val="21"/>
          <w:szCs w:val="21"/>
        </w:rPr>
      </w:pPr>
      <w:r>
        <w:rPr>
          <w:sz w:val="21"/>
          <w:szCs w:val="21"/>
        </w:rPr>
        <w:t>This question is n</w:t>
      </w:r>
      <w:r w:rsidR="00F159E1" w:rsidRPr="00F159E1">
        <w:rPr>
          <w:sz w:val="21"/>
          <w:szCs w:val="21"/>
        </w:rPr>
        <w:t>ot applicable to the trial which was undertaken by the partnership.</w:t>
      </w:r>
    </w:p>
    <w:p w14:paraId="12749982" w14:textId="77777777" w:rsidR="00F159E1" w:rsidRPr="00F159E1" w:rsidRDefault="00F159E1" w:rsidP="00F159E1">
      <w:pPr>
        <w:autoSpaceDE/>
        <w:autoSpaceDN/>
        <w:adjustRightInd/>
        <w:jc w:val="both"/>
        <w:rPr>
          <w:rFonts w:eastAsiaTheme="majorEastAsia"/>
          <w:color w:val="365F91" w:themeColor="accent1" w:themeShade="BF"/>
        </w:rPr>
      </w:pPr>
    </w:p>
    <w:p w14:paraId="1E31C0B5" w14:textId="77777777" w:rsidR="00F159E1" w:rsidRPr="00F159E1" w:rsidRDefault="00F159E1" w:rsidP="0087285C">
      <w:pPr>
        <w:pStyle w:val="ListParagraph"/>
        <w:numPr>
          <w:ilvl w:val="0"/>
          <w:numId w:val="27"/>
        </w:numPr>
        <w:jc w:val="both"/>
        <w:rPr>
          <w:rFonts w:eastAsiaTheme="majorEastAsia"/>
          <w:color w:val="365F91" w:themeColor="accent1" w:themeShade="BF"/>
        </w:rPr>
      </w:pPr>
      <w:r w:rsidRPr="00F159E1">
        <w:rPr>
          <w:rFonts w:eastAsiaTheme="majorEastAsia"/>
          <w:color w:val="365F91" w:themeColor="accent1" w:themeShade="BF"/>
        </w:rPr>
        <w:t>Are there currently any regulatory or other barriers to running larger trials? If so, how should these barriers be addressed? (Consider the guidelines, state and territory exemption and permit schemes, and Commonwealth importation processes.)</w:t>
      </w:r>
    </w:p>
    <w:p w14:paraId="75BAA73C" w14:textId="77777777" w:rsidR="00F159E1" w:rsidRDefault="00F159E1" w:rsidP="00F159E1">
      <w:pPr>
        <w:autoSpaceDE/>
        <w:autoSpaceDN/>
        <w:adjustRightInd/>
        <w:jc w:val="both"/>
      </w:pPr>
    </w:p>
    <w:p w14:paraId="14AE8D94" w14:textId="77777777" w:rsidR="00F159E1" w:rsidRDefault="007562D0" w:rsidP="00F159E1">
      <w:pPr>
        <w:autoSpaceDE/>
        <w:autoSpaceDN/>
        <w:adjustRightInd/>
        <w:jc w:val="both"/>
        <w:rPr>
          <w:sz w:val="21"/>
          <w:szCs w:val="21"/>
        </w:rPr>
      </w:pPr>
      <w:r>
        <w:rPr>
          <w:sz w:val="21"/>
          <w:szCs w:val="21"/>
        </w:rPr>
        <w:t>Regarding larger public transport trials of AVs, it</w:t>
      </w:r>
      <w:r w:rsidR="0087285C">
        <w:rPr>
          <w:sz w:val="21"/>
          <w:szCs w:val="21"/>
        </w:rPr>
        <w:t xml:space="preserve"> i</w:t>
      </w:r>
      <w:r w:rsidR="00F159E1" w:rsidRPr="00F159E1">
        <w:rPr>
          <w:sz w:val="21"/>
          <w:szCs w:val="21"/>
        </w:rPr>
        <w:t>s unlikely a transport service provider would seek to integrate AVs until there is support or direction from the regulating authority to do so.</w:t>
      </w:r>
      <w:r>
        <w:rPr>
          <w:sz w:val="21"/>
          <w:szCs w:val="21"/>
        </w:rPr>
        <w:t xml:space="preserve"> This includes overcoming the current barrier where alternative operators face significant barriers to operating in legislated contract areas where current public transport operators exist. While this barrier exists,</w:t>
      </w:r>
      <w:r w:rsidR="00F159E1" w:rsidRPr="00F159E1">
        <w:rPr>
          <w:sz w:val="21"/>
          <w:szCs w:val="21"/>
        </w:rPr>
        <w:t xml:space="preserve"> </w:t>
      </w:r>
      <w:r>
        <w:rPr>
          <w:sz w:val="21"/>
          <w:szCs w:val="21"/>
        </w:rPr>
        <w:t>t</w:t>
      </w:r>
      <w:r w:rsidR="00F159E1" w:rsidRPr="00F159E1">
        <w:rPr>
          <w:sz w:val="21"/>
          <w:szCs w:val="21"/>
        </w:rPr>
        <w:t>he impetus should be on state government agencies to lead</w:t>
      </w:r>
      <w:r>
        <w:rPr>
          <w:sz w:val="21"/>
          <w:szCs w:val="21"/>
        </w:rPr>
        <w:t xml:space="preserve"> or coordinate</w:t>
      </w:r>
      <w:r w:rsidR="00F159E1" w:rsidRPr="00F159E1">
        <w:rPr>
          <w:sz w:val="21"/>
          <w:szCs w:val="21"/>
        </w:rPr>
        <w:t xml:space="preserve"> the delivery of larger</w:t>
      </w:r>
      <w:r>
        <w:rPr>
          <w:sz w:val="21"/>
          <w:szCs w:val="21"/>
        </w:rPr>
        <w:t xml:space="preserve"> public transport</w:t>
      </w:r>
      <w:r w:rsidR="00F159E1" w:rsidRPr="00F159E1">
        <w:rPr>
          <w:sz w:val="21"/>
          <w:szCs w:val="21"/>
        </w:rPr>
        <w:t xml:space="preserve"> trials</w:t>
      </w:r>
      <w:r>
        <w:rPr>
          <w:sz w:val="21"/>
          <w:szCs w:val="21"/>
        </w:rPr>
        <w:t xml:space="preserve"> – though this exclusive contracting arrangement in the legislation should be reviewed and updated to allow for flexible trialling of alternative mobility options.</w:t>
      </w:r>
    </w:p>
    <w:p w14:paraId="077A2615" w14:textId="77777777" w:rsidR="007562D0" w:rsidRDefault="007562D0" w:rsidP="00F159E1">
      <w:pPr>
        <w:autoSpaceDE/>
        <w:autoSpaceDN/>
        <w:adjustRightInd/>
        <w:jc w:val="both"/>
        <w:rPr>
          <w:sz w:val="21"/>
          <w:szCs w:val="21"/>
        </w:rPr>
      </w:pPr>
    </w:p>
    <w:p w14:paraId="7413B9C2" w14:textId="77777777" w:rsidR="007562D0" w:rsidRPr="00F159E1" w:rsidRDefault="00DD2A3F" w:rsidP="00F159E1">
      <w:pPr>
        <w:autoSpaceDE/>
        <w:autoSpaceDN/>
        <w:adjustRightInd/>
        <w:jc w:val="both"/>
        <w:rPr>
          <w:sz w:val="21"/>
          <w:szCs w:val="21"/>
        </w:rPr>
      </w:pPr>
      <w:r>
        <w:rPr>
          <w:sz w:val="21"/>
          <w:szCs w:val="21"/>
        </w:rPr>
        <w:t>W</w:t>
      </w:r>
      <w:r w:rsidR="007562D0">
        <w:rPr>
          <w:sz w:val="21"/>
          <w:szCs w:val="21"/>
        </w:rPr>
        <w:t>e are not currently able to comment on additional barriers to running larger trials</w:t>
      </w:r>
      <w:r>
        <w:rPr>
          <w:sz w:val="21"/>
          <w:szCs w:val="21"/>
        </w:rPr>
        <w:t xml:space="preserve"> not related to public transport applications.</w:t>
      </w:r>
    </w:p>
    <w:p w14:paraId="33CA4848" w14:textId="77777777" w:rsidR="00F159E1" w:rsidRDefault="00F159E1" w:rsidP="00F159E1">
      <w:pPr>
        <w:autoSpaceDE/>
        <w:autoSpaceDN/>
        <w:adjustRightInd/>
        <w:jc w:val="both"/>
      </w:pPr>
    </w:p>
    <w:p w14:paraId="7243AEEC" w14:textId="77777777" w:rsidR="00F159E1" w:rsidRPr="00F159E1" w:rsidRDefault="00F159E1" w:rsidP="00F159E1">
      <w:pPr>
        <w:pStyle w:val="ListParagraph"/>
        <w:numPr>
          <w:ilvl w:val="0"/>
          <w:numId w:val="27"/>
        </w:numPr>
        <w:autoSpaceDE/>
        <w:autoSpaceDN/>
        <w:adjustRightInd/>
        <w:jc w:val="both"/>
        <w:rPr>
          <w:rStyle w:val="IntenseEmphasis"/>
          <w:color w:val="auto"/>
        </w:rPr>
      </w:pPr>
      <w:r w:rsidRPr="00F159E1">
        <w:rPr>
          <w:rStyle w:val="IntenseEmphasis"/>
          <w:i w:val="0"/>
          <w:iCs w:val="0"/>
        </w:rPr>
        <w:t>Should the guidelines continue to allow commercial passenger services in automated vehicle trials? If so, should the guidelines reference additional criteria that trialling organisations should be subject to, and what should these criteria be?</w:t>
      </w:r>
    </w:p>
    <w:p w14:paraId="299A797D" w14:textId="77777777" w:rsidR="00AE03DF" w:rsidRDefault="00AE03DF" w:rsidP="00F159E1">
      <w:pPr>
        <w:rPr>
          <w:sz w:val="21"/>
          <w:szCs w:val="21"/>
        </w:rPr>
      </w:pPr>
    </w:p>
    <w:p w14:paraId="26337DAA" w14:textId="77777777" w:rsidR="00F159E1" w:rsidRDefault="00F159E1" w:rsidP="00F55552">
      <w:pPr>
        <w:jc w:val="both"/>
        <w:rPr>
          <w:sz w:val="21"/>
          <w:szCs w:val="21"/>
        </w:rPr>
      </w:pPr>
      <w:r w:rsidRPr="00F159E1">
        <w:rPr>
          <w:sz w:val="21"/>
          <w:szCs w:val="21"/>
        </w:rPr>
        <w:t>If the desire is to establish a framework to allow the integration of AVs into the transport network, then yes it makes sense for the guidelines to include provisions for commercial passenger services.</w:t>
      </w:r>
      <w:r w:rsidR="00AE03DF">
        <w:rPr>
          <w:sz w:val="21"/>
          <w:szCs w:val="21"/>
        </w:rPr>
        <w:t xml:space="preserve"> </w:t>
      </w:r>
      <w:r w:rsidRPr="00F159E1">
        <w:rPr>
          <w:sz w:val="21"/>
          <w:szCs w:val="21"/>
        </w:rPr>
        <w:t xml:space="preserve">While these provisions would be broad, they should at least inform the various state and territory governments on measures need to be developed to enable these services. </w:t>
      </w:r>
    </w:p>
    <w:p w14:paraId="2068A0A7" w14:textId="77777777" w:rsidR="00F55552" w:rsidRDefault="00F55552" w:rsidP="00F55552">
      <w:pPr>
        <w:jc w:val="both"/>
        <w:rPr>
          <w:sz w:val="21"/>
          <w:szCs w:val="21"/>
        </w:rPr>
      </w:pPr>
    </w:p>
    <w:p w14:paraId="3AAE6CDD" w14:textId="6428B106" w:rsidR="00BE48BD" w:rsidRDefault="00F55552" w:rsidP="00F55552">
      <w:pPr>
        <w:jc w:val="both"/>
        <w:rPr>
          <w:sz w:val="21"/>
          <w:szCs w:val="21"/>
        </w:rPr>
      </w:pPr>
      <w:r>
        <w:rPr>
          <w:sz w:val="21"/>
          <w:szCs w:val="21"/>
        </w:rPr>
        <w:t>Additionally, a definition related to commercial passenger services would be valuable to distinguish between local research trials which offer a passenger service (as we did with Karragarra) and those with the intent of scaling up to commercial deployment and/or competing with local commercial modes such as rideshare/taxis. Those which fall into the second category should be subject to provisions which more closely align to the first supply principles – some of these criteria are recognised in earlier questions (e.g. broader data reporting requirements, and potentially interaction with emergency/enforcement.</w:t>
      </w:r>
    </w:p>
    <w:p w14:paraId="081C2A18" w14:textId="3B87984F" w:rsidR="00BE48BD" w:rsidRDefault="00BE48BD" w:rsidP="00F55552">
      <w:pPr>
        <w:jc w:val="both"/>
        <w:rPr>
          <w:sz w:val="21"/>
          <w:szCs w:val="21"/>
        </w:rPr>
      </w:pPr>
    </w:p>
    <w:p w14:paraId="5BEAF460" w14:textId="089DA382" w:rsidR="00BE48BD" w:rsidRDefault="00BE48BD" w:rsidP="00F55552">
      <w:pPr>
        <w:jc w:val="both"/>
        <w:rPr>
          <w:sz w:val="21"/>
          <w:szCs w:val="21"/>
        </w:rPr>
      </w:pPr>
      <w:r>
        <w:rPr>
          <w:sz w:val="21"/>
          <w:szCs w:val="21"/>
        </w:rPr>
        <w:t>Broader industry engagement with operators who are currently or may be interested in undertaking commercial deployments should be undertaken to determine the barriers (e.g. lack of government direction, costs, inexperience with technology) and potential solutions (e.g. partnerships, research grants, trials).</w:t>
      </w:r>
    </w:p>
    <w:p w14:paraId="21DC4CCA" w14:textId="77777777" w:rsidR="00F55552" w:rsidRPr="00F159E1" w:rsidRDefault="00F55552" w:rsidP="00F159E1">
      <w:pPr>
        <w:rPr>
          <w:sz w:val="21"/>
          <w:szCs w:val="21"/>
        </w:rPr>
      </w:pPr>
    </w:p>
    <w:p w14:paraId="54D16E8C" w14:textId="77777777" w:rsidR="00F159E1" w:rsidRDefault="00F159E1" w:rsidP="000C246C">
      <w:pPr>
        <w:pStyle w:val="ListParagraph"/>
        <w:numPr>
          <w:ilvl w:val="0"/>
          <w:numId w:val="27"/>
        </w:numPr>
        <w:jc w:val="both"/>
        <w:rPr>
          <w:rStyle w:val="IntenseEmphasis"/>
          <w:i w:val="0"/>
          <w:iCs w:val="0"/>
        </w:rPr>
      </w:pPr>
      <w:r w:rsidRPr="00F159E1">
        <w:rPr>
          <w:rStyle w:val="IntenseEmphasis"/>
          <w:i w:val="0"/>
          <w:iCs w:val="0"/>
        </w:rPr>
        <w:t>What challenges have you faced with administrative processes when applying for approving trials of automated vehicles, and how could these be addressed?</w:t>
      </w:r>
    </w:p>
    <w:p w14:paraId="018AC994" w14:textId="77777777" w:rsidR="00A56B27" w:rsidRDefault="00A56B27" w:rsidP="000C246C">
      <w:pPr>
        <w:jc w:val="both"/>
        <w:rPr>
          <w:rStyle w:val="IntenseEmphasis"/>
          <w:i w:val="0"/>
          <w:iCs w:val="0"/>
        </w:rPr>
      </w:pPr>
    </w:p>
    <w:p w14:paraId="4463E8A4" w14:textId="77777777" w:rsidR="00F159E1" w:rsidRPr="00F159E1" w:rsidRDefault="00A56B27" w:rsidP="000C246C">
      <w:pPr>
        <w:jc w:val="both"/>
        <w:rPr>
          <w:sz w:val="21"/>
          <w:szCs w:val="21"/>
        </w:rPr>
      </w:pPr>
      <w:r w:rsidRPr="00A56B27">
        <w:rPr>
          <w:sz w:val="21"/>
          <w:szCs w:val="21"/>
        </w:rPr>
        <w:t>Throughou</w:t>
      </w:r>
      <w:r>
        <w:rPr>
          <w:sz w:val="21"/>
          <w:szCs w:val="21"/>
        </w:rPr>
        <w:t>t the permit and trial application process there was a lack of c</w:t>
      </w:r>
      <w:r w:rsidR="00F159E1" w:rsidRPr="00F159E1">
        <w:rPr>
          <w:sz w:val="21"/>
          <w:szCs w:val="21"/>
        </w:rPr>
        <w:t xml:space="preserve">lear and understandable directions from regulators. </w:t>
      </w:r>
      <w:r>
        <w:rPr>
          <w:sz w:val="21"/>
          <w:szCs w:val="21"/>
        </w:rPr>
        <w:t>A potential solution to this would be to</w:t>
      </w:r>
      <w:r w:rsidR="00F159E1" w:rsidRPr="00F159E1">
        <w:rPr>
          <w:sz w:val="21"/>
          <w:szCs w:val="21"/>
        </w:rPr>
        <w:t xml:space="preserve"> develop and adopt</w:t>
      </w:r>
      <w:r>
        <w:rPr>
          <w:sz w:val="21"/>
          <w:szCs w:val="21"/>
        </w:rPr>
        <w:t xml:space="preserve"> a</w:t>
      </w:r>
      <w:r w:rsidR="00F159E1" w:rsidRPr="00F159E1">
        <w:rPr>
          <w:sz w:val="21"/>
          <w:szCs w:val="21"/>
        </w:rPr>
        <w:t xml:space="preserve"> framework that enables consistent advice and</w:t>
      </w:r>
      <w:r>
        <w:rPr>
          <w:sz w:val="21"/>
          <w:szCs w:val="21"/>
        </w:rPr>
        <w:t xml:space="preserve"> transparent</w:t>
      </w:r>
      <w:r w:rsidR="00F159E1" w:rsidRPr="00F159E1">
        <w:rPr>
          <w:sz w:val="21"/>
          <w:szCs w:val="21"/>
        </w:rPr>
        <w:t xml:space="preserve"> decision making across all organisations/agencies. </w:t>
      </w:r>
    </w:p>
    <w:p w14:paraId="47E0A60F" w14:textId="77777777" w:rsidR="00F159E1" w:rsidRDefault="00F159E1" w:rsidP="000C246C">
      <w:pPr>
        <w:jc w:val="both"/>
      </w:pPr>
    </w:p>
    <w:p w14:paraId="104F6186" w14:textId="77777777" w:rsidR="00F159E1" w:rsidRDefault="00F159E1" w:rsidP="000C246C">
      <w:pPr>
        <w:pStyle w:val="ListParagraph"/>
        <w:numPr>
          <w:ilvl w:val="0"/>
          <w:numId w:val="27"/>
        </w:numPr>
        <w:jc w:val="both"/>
        <w:rPr>
          <w:rStyle w:val="IntenseEmphasis"/>
          <w:i w:val="0"/>
          <w:iCs w:val="0"/>
        </w:rPr>
      </w:pPr>
      <w:r w:rsidRPr="00F159E1">
        <w:rPr>
          <w:rStyle w:val="IntenseEmphasis"/>
          <w:i w:val="0"/>
          <w:iCs w:val="0"/>
        </w:rPr>
        <w:t xml:space="preserve">Are there any other barriers to cross-border trials? Is there a need to change current </w:t>
      </w:r>
      <w:r w:rsidR="00A56B27">
        <w:rPr>
          <w:rStyle w:val="IntenseEmphasis"/>
          <w:i w:val="0"/>
          <w:iCs w:val="0"/>
        </w:rPr>
        <w:t>a</w:t>
      </w:r>
      <w:r w:rsidRPr="00F159E1">
        <w:rPr>
          <w:rStyle w:val="IntenseEmphasis"/>
          <w:i w:val="0"/>
          <w:iCs w:val="0"/>
        </w:rPr>
        <w:t>rrangements for cross border trials?</w:t>
      </w:r>
    </w:p>
    <w:p w14:paraId="505CFD83" w14:textId="77777777" w:rsidR="00A56B27" w:rsidRDefault="00A56B27" w:rsidP="000C246C">
      <w:pPr>
        <w:jc w:val="both"/>
        <w:rPr>
          <w:rStyle w:val="IntenseEmphasis"/>
          <w:i w:val="0"/>
          <w:iCs w:val="0"/>
        </w:rPr>
      </w:pPr>
    </w:p>
    <w:p w14:paraId="1A766E66" w14:textId="77777777" w:rsidR="00A56B27" w:rsidRDefault="00A56B27" w:rsidP="000C246C">
      <w:pPr>
        <w:jc w:val="both"/>
        <w:rPr>
          <w:sz w:val="21"/>
          <w:szCs w:val="21"/>
        </w:rPr>
      </w:pPr>
      <w:r w:rsidRPr="00A56B27">
        <w:rPr>
          <w:sz w:val="21"/>
          <w:szCs w:val="21"/>
        </w:rPr>
        <w:t xml:space="preserve">Legislative </w:t>
      </w:r>
      <w:r>
        <w:rPr>
          <w:sz w:val="21"/>
          <w:szCs w:val="21"/>
        </w:rPr>
        <w:t xml:space="preserve">differences across states exist – some of which have been covered or noted previously such as insurance, public transport operator and disability access for public transport operations legislation. There are also potentially state based jurisdictional differences for taxi/rideshare legislation which may be a </w:t>
      </w:r>
      <w:r w:rsidR="000C246C">
        <w:rPr>
          <w:sz w:val="21"/>
          <w:szCs w:val="21"/>
        </w:rPr>
        <w:t>barrier,</w:t>
      </w:r>
      <w:r>
        <w:rPr>
          <w:sz w:val="21"/>
          <w:szCs w:val="21"/>
        </w:rPr>
        <w:t xml:space="preserve"> but this trial did not have experience with this, or cross-border operations.</w:t>
      </w:r>
    </w:p>
    <w:p w14:paraId="4C75F06F" w14:textId="77777777" w:rsidR="00A56B27" w:rsidRDefault="00A56B27" w:rsidP="000C246C">
      <w:pPr>
        <w:jc w:val="both"/>
        <w:rPr>
          <w:sz w:val="21"/>
          <w:szCs w:val="21"/>
        </w:rPr>
      </w:pPr>
    </w:p>
    <w:p w14:paraId="6395A0B3" w14:textId="77777777" w:rsidR="00A56B27" w:rsidRPr="00A56B27" w:rsidRDefault="00A56B27" w:rsidP="000C246C">
      <w:pPr>
        <w:jc w:val="both"/>
        <w:rPr>
          <w:sz w:val="21"/>
          <w:szCs w:val="21"/>
        </w:rPr>
      </w:pPr>
      <w:r>
        <w:rPr>
          <w:sz w:val="21"/>
          <w:szCs w:val="21"/>
        </w:rPr>
        <w:t xml:space="preserve">While local government boundaries do not have specific legislative challenges, the public transport operator contract areas are legislated and often have boundaries in-line with local government areas. This is a challenge for even non-AV operations in Queensland, with some services not being able to be altered to </w:t>
      </w:r>
      <w:r>
        <w:rPr>
          <w:sz w:val="21"/>
          <w:szCs w:val="21"/>
        </w:rPr>
        <w:lastRenderedPageBreak/>
        <w:t>extend into another contract area within another LGA. Additionally, LGA boundaries would require multiple stakeholder agreements if operating on local roads across multiple LGAs, and not led by State government.</w:t>
      </w:r>
    </w:p>
    <w:p w14:paraId="7E42CCB7" w14:textId="77777777" w:rsidR="00F159E1" w:rsidRDefault="00F159E1" w:rsidP="000C246C">
      <w:pPr>
        <w:jc w:val="both"/>
      </w:pPr>
    </w:p>
    <w:p w14:paraId="63B47294" w14:textId="77777777" w:rsidR="00F159E1" w:rsidRPr="00A56B27" w:rsidRDefault="00F159E1" w:rsidP="000C246C">
      <w:pPr>
        <w:pStyle w:val="ListParagraph"/>
        <w:numPr>
          <w:ilvl w:val="0"/>
          <w:numId w:val="27"/>
        </w:numPr>
        <w:jc w:val="both"/>
        <w:rPr>
          <w:rStyle w:val="IntenseEmphasis"/>
        </w:rPr>
      </w:pPr>
      <w:r w:rsidRPr="00F159E1">
        <w:rPr>
          <w:rStyle w:val="IntenseEmphasis"/>
          <w:i w:val="0"/>
          <w:iCs w:val="0"/>
        </w:rPr>
        <w:t>Should there be a more standardised government evaluation framework for automated vehicle trials? If so, what are the trial issues that should be evaluated?</w:t>
      </w:r>
    </w:p>
    <w:p w14:paraId="1C9C7966" w14:textId="77777777" w:rsidR="00A56B27" w:rsidRPr="00A56B27" w:rsidRDefault="00A56B27" w:rsidP="000C246C">
      <w:pPr>
        <w:jc w:val="both"/>
        <w:rPr>
          <w:rStyle w:val="IntenseEmphasis"/>
          <w:i w:val="0"/>
          <w:iCs w:val="0"/>
        </w:rPr>
      </w:pPr>
    </w:p>
    <w:p w14:paraId="39EA0B88" w14:textId="77777777" w:rsidR="00F159E1" w:rsidRDefault="00A56B27" w:rsidP="000C246C">
      <w:pPr>
        <w:jc w:val="both"/>
        <w:rPr>
          <w:sz w:val="21"/>
          <w:szCs w:val="21"/>
        </w:rPr>
      </w:pPr>
      <w:r>
        <w:rPr>
          <w:sz w:val="21"/>
          <w:szCs w:val="21"/>
        </w:rPr>
        <w:t>The concept of a standardised government evaluation framework for AV trials is supported and as stated previously should provide</w:t>
      </w:r>
      <w:r w:rsidR="00F159E1" w:rsidRPr="00F159E1">
        <w:rPr>
          <w:sz w:val="21"/>
          <w:szCs w:val="21"/>
        </w:rPr>
        <w:t xml:space="preserve"> clear and consistent advice and decision making from regulators. </w:t>
      </w:r>
    </w:p>
    <w:p w14:paraId="62C93333" w14:textId="77777777" w:rsidR="00F159E1" w:rsidRPr="00F159E1" w:rsidRDefault="00F159E1" w:rsidP="000C246C">
      <w:pPr>
        <w:pStyle w:val="ListParagraph"/>
        <w:ind w:left="360"/>
        <w:jc w:val="both"/>
        <w:rPr>
          <w:rStyle w:val="IntenseEmphasis"/>
        </w:rPr>
      </w:pPr>
    </w:p>
    <w:p w14:paraId="5BBE20B7" w14:textId="77777777" w:rsidR="00F159E1" w:rsidRDefault="00F159E1" w:rsidP="000C246C">
      <w:pPr>
        <w:pStyle w:val="ListParagraph"/>
        <w:numPr>
          <w:ilvl w:val="0"/>
          <w:numId w:val="27"/>
        </w:numPr>
        <w:jc w:val="both"/>
        <w:rPr>
          <w:rStyle w:val="IntenseEmphasis"/>
          <w:i w:val="0"/>
          <w:iCs w:val="0"/>
        </w:rPr>
      </w:pPr>
      <w:r w:rsidRPr="00F159E1">
        <w:rPr>
          <w:rStyle w:val="IntenseEmphasis"/>
          <w:i w:val="0"/>
          <w:iCs w:val="0"/>
        </w:rPr>
        <w:t>Should the results of evaluations be shared between states and territories? If so, how should commercially sensitive information be treated?</w:t>
      </w:r>
    </w:p>
    <w:p w14:paraId="27F9E99E" w14:textId="77777777" w:rsidR="000C246C" w:rsidRPr="000C246C" w:rsidRDefault="000C246C" w:rsidP="000C246C">
      <w:pPr>
        <w:jc w:val="both"/>
        <w:rPr>
          <w:rStyle w:val="IntenseEmphasis"/>
          <w:i w:val="0"/>
          <w:iCs w:val="0"/>
        </w:rPr>
      </w:pPr>
    </w:p>
    <w:p w14:paraId="398423C5" w14:textId="77777777" w:rsidR="00F159E1" w:rsidRPr="000C246C" w:rsidRDefault="000C246C" w:rsidP="000C246C">
      <w:pPr>
        <w:jc w:val="both"/>
        <w:rPr>
          <w:sz w:val="21"/>
          <w:szCs w:val="21"/>
        </w:rPr>
      </w:pPr>
      <w:r w:rsidRPr="000C246C">
        <w:rPr>
          <w:sz w:val="21"/>
          <w:szCs w:val="21"/>
        </w:rPr>
        <w:t>The benefits of sharing information are recognised and supported. A</w:t>
      </w:r>
      <w:r w:rsidR="00F159E1" w:rsidRPr="000C246C">
        <w:rPr>
          <w:sz w:val="21"/>
          <w:szCs w:val="21"/>
        </w:rPr>
        <w:t xml:space="preserve"> </w:t>
      </w:r>
      <w:r w:rsidRPr="000C246C">
        <w:rPr>
          <w:sz w:val="21"/>
          <w:szCs w:val="21"/>
        </w:rPr>
        <w:t>s</w:t>
      </w:r>
      <w:r w:rsidR="00F159E1" w:rsidRPr="000C246C">
        <w:rPr>
          <w:sz w:val="21"/>
          <w:szCs w:val="21"/>
        </w:rPr>
        <w:t xml:space="preserve">tandardised final reporting </w:t>
      </w:r>
      <w:r w:rsidRPr="000C246C">
        <w:rPr>
          <w:sz w:val="21"/>
          <w:szCs w:val="21"/>
        </w:rPr>
        <w:t>framework, with case-by-case agreements related to protections for certain information c</w:t>
      </w:r>
      <w:r w:rsidR="00F159E1" w:rsidRPr="000C246C">
        <w:rPr>
          <w:sz w:val="21"/>
          <w:szCs w:val="21"/>
        </w:rPr>
        <w:t xml:space="preserve">ould resolve any issues with IP or sensitive information. </w:t>
      </w:r>
    </w:p>
    <w:p w14:paraId="1D5D2073" w14:textId="77777777" w:rsidR="00F159E1" w:rsidRDefault="00F159E1" w:rsidP="00F159E1"/>
    <w:p w14:paraId="18B29420" w14:textId="77777777" w:rsidR="000C246C" w:rsidRDefault="00F159E1" w:rsidP="0087285C">
      <w:pPr>
        <w:pStyle w:val="ListParagraph"/>
        <w:numPr>
          <w:ilvl w:val="0"/>
          <w:numId w:val="27"/>
        </w:numPr>
        <w:jc w:val="both"/>
        <w:rPr>
          <w:rStyle w:val="IntenseEmphasis"/>
          <w:i w:val="0"/>
          <w:iCs w:val="0"/>
        </w:rPr>
      </w:pPr>
      <w:r w:rsidRPr="00F159E1">
        <w:rPr>
          <w:rStyle w:val="IntenseEmphasis"/>
          <w:i w:val="0"/>
          <w:iCs w:val="0"/>
        </w:rPr>
        <w:t>What works well in the automated vehicle importation process, and what are the challenges?</w:t>
      </w:r>
    </w:p>
    <w:p w14:paraId="15E959E2" w14:textId="77777777" w:rsidR="000C246C" w:rsidRPr="000C246C" w:rsidRDefault="000C246C" w:rsidP="000C246C">
      <w:pPr>
        <w:rPr>
          <w:color w:val="4F81BD" w:themeColor="accent1"/>
        </w:rPr>
      </w:pPr>
    </w:p>
    <w:p w14:paraId="3429E6CE" w14:textId="77777777" w:rsidR="00F159E1" w:rsidRPr="000C246C" w:rsidRDefault="00F159E1" w:rsidP="000C246C">
      <w:pPr>
        <w:autoSpaceDE/>
        <w:autoSpaceDN/>
        <w:adjustRightInd/>
        <w:spacing w:after="160" w:line="259" w:lineRule="auto"/>
        <w:jc w:val="both"/>
        <w:rPr>
          <w:sz w:val="21"/>
          <w:szCs w:val="21"/>
        </w:rPr>
      </w:pPr>
      <w:r w:rsidRPr="000C246C">
        <w:rPr>
          <w:sz w:val="21"/>
          <w:szCs w:val="21"/>
        </w:rPr>
        <w:t xml:space="preserve">Application of the </w:t>
      </w:r>
      <w:r w:rsidR="000C246C" w:rsidRPr="000C246C">
        <w:rPr>
          <w:sz w:val="21"/>
          <w:szCs w:val="21"/>
        </w:rPr>
        <w:t xml:space="preserve">Luxury Car Tax (LCT) </w:t>
      </w:r>
      <w:r w:rsidRPr="000C246C">
        <w:rPr>
          <w:sz w:val="21"/>
          <w:szCs w:val="21"/>
        </w:rPr>
        <w:t>to a trial vehicle depends on the number of passengers, with the LCT rules applying where the vehicle is designed to carry fewer than nine passengers</w:t>
      </w:r>
      <w:r w:rsidR="000C246C">
        <w:rPr>
          <w:sz w:val="21"/>
          <w:szCs w:val="21"/>
        </w:rPr>
        <w:t xml:space="preserve">. </w:t>
      </w:r>
      <w:r w:rsidRPr="000C246C">
        <w:rPr>
          <w:sz w:val="21"/>
          <w:szCs w:val="21"/>
        </w:rPr>
        <w:t>This reading of the LCT rules was supported by internal tax advice which also indicated that the GST payable on the trial vehicle was fully claimable.</w:t>
      </w:r>
    </w:p>
    <w:p w14:paraId="46882D0D" w14:textId="77777777" w:rsidR="00F159E1" w:rsidRPr="000C246C" w:rsidRDefault="00F159E1" w:rsidP="000C246C">
      <w:pPr>
        <w:autoSpaceDE/>
        <w:autoSpaceDN/>
        <w:adjustRightInd/>
        <w:spacing w:line="259" w:lineRule="auto"/>
        <w:jc w:val="both"/>
        <w:rPr>
          <w:sz w:val="21"/>
          <w:szCs w:val="21"/>
        </w:rPr>
      </w:pPr>
      <w:r w:rsidRPr="000C246C">
        <w:rPr>
          <w:sz w:val="21"/>
          <w:szCs w:val="21"/>
        </w:rPr>
        <w:t>Two documents were required to support the importation of the autonomous shuttle:</w:t>
      </w:r>
    </w:p>
    <w:p w14:paraId="713518BF" w14:textId="77777777" w:rsidR="00F159E1" w:rsidRPr="000C246C" w:rsidRDefault="00F159E1" w:rsidP="000C246C">
      <w:pPr>
        <w:pStyle w:val="ListParagraph"/>
        <w:numPr>
          <w:ilvl w:val="1"/>
          <w:numId w:val="34"/>
        </w:numPr>
        <w:autoSpaceDE/>
        <w:autoSpaceDN/>
        <w:adjustRightInd/>
        <w:spacing w:line="259" w:lineRule="auto"/>
        <w:jc w:val="both"/>
        <w:rPr>
          <w:sz w:val="21"/>
          <w:szCs w:val="21"/>
        </w:rPr>
      </w:pPr>
      <w:r w:rsidRPr="000C246C">
        <w:rPr>
          <w:sz w:val="21"/>
          <w:szCs w:val="21"/>
        </w:rPr>
        <w:t>Letter from RACQ outlining the trial project, purpose of the vehicle and VIN</w:t>
      </w:r>
    </w:p>
    <w:p w14:paraId="1D034D1A" w14:textId="77777777" w:rsidR="00F159E1" w:rsidRDefault="00F159E1" w:rsidP="000C246C">
      <w:pPr>
        <w:pStyle w:val="ListParagraph"/>
        <w:numPr>
          <w:ilvl w:val="1"/>
          <w:numId w:val="34"/>
        </w:numPr>
        <w:autoSpaceDE/>
        <w:autoSpaceDN/>
        <w:adjustRightInd/>
        <w:spacing w:after="160" w:line="259" w:lineRule="auto"/>
        <w:jc w:val="both"/>
        <w:rPr>
          <w:sz w:val="21"/>
          <w:szCs w:val="21"/>
        </w:rPr>
      </w:pPr>
      <w:r w:rsidRPr="000C246C">
        <w:rPr>
          <w:sz w:val="21"/>
          <w:szCs w:val="21"/>
        </w:rPr>
        <w:t>Letter from the jurisdiction (TMR) providing in principle support for the vehicle and trial</w:t>
      </w:r>
    </w:p>
    <w:p w14:paraId="22B19FB6" w14:textId="77777777" w:rsidR="000C246C" w:rsidRPr="000C246C" w:rsidRDefault="000C246C" w:rsidP="000C246C">
      <w:pPr>
        <w:pStyle w:val="ListParagraph"/>
        <w:autoSpaceDE/>
        <w:autoSpaceDN/>
        <w:adjustRightInd/>
        <w:spacing w:after="160" w:line="259" w:lineRule="auto"/>
        <w:ind w:left="1440"/>
        <w:jc w:val="both"/>
        <w:rPr>
          <w:sz w:val="21"/>
          <w:szCs w:val="21"/>
        </w:rPr>
      </w:pPr>
    </w:p>
    <w:p w14:paraId="1348C49D" w14:textId="77777777" w:rsidR="00F159E1" w:rsidRPr="000C246C" w:rsidRDefault="00F159E1" w:rsidP="000C246C">
      <w:pPr>
        <w:autoSpaceDE/>
        <w:autoSpaceDN/>
        <w:adjustRightInd/>
        <w:spacing w:after="160" w:line="259" w:lineRule="auto"/>
        <w:jc w:val="both"/>
        <w:rPr>
          <w:sz w:val="21"/>
          <w:szCs w:val="21"/>
        </w:rPr>
      </w:pPr>
      <w:r w:rsidRPr="000C246C">
        <w:rPr>
          <w:sz w:val="21"/>
          <w:szCs w:val="21"/>
        </w:rPr>
        <w:t>The importation process was made easier by contracting the process to the autonomous shuttle supplier</w:t>
      </w:r>
      <w:r w:rsidR="000C246C" w:rsidRPr="000C246C">
        <w:rPr>
          <w:sz w:val="21"/>
          <w:szCs w:val="21"/>
        </w:rPr>
        <w:t>.</w:t>
      </w:r>
    </w:p>
    <w:p w14:paraId="69AB770D" w14:textId="77777777" w:rsidR="00F159E1" w:rsidRPr="000C246C" w:rsidRDefault="00F159E1" w:rsidP="000C246C">
      <w:pPr>
        <w:autoSpaceDE/>
        <w:autoSpaceDN/>
        <w:adjustRightInd/>
        <w:spacing w:after="160" w:line="259" w:lineRule="auto"/>
        <w:jc w:val="both"/>
        <w:rPr>
          <w:sz w:val="21"/>
          <w:szCs w:val="21"/>
        </w:rPr>
      </w:pPr>
      <w:r w:rsidRPr="000C246C">
        <w:rPr>
          <w:sz w:val="21"/>
          <w:szCs w:val="21"/>
        </w:rPr>
        <w:t>A challenge to the shipping and import process was all parties understanding and agreeing to when various insurance cover and arrangements would apply.</w:t>
      </w:r>
    </w:p>
    <w:p w14:paraId="72031A84" w14:textId="77777777" w:rsidR="00F159E1" w:rsidRDefault="00F159E1" w:rsidP="00F159E1"/>
    <w:p w14:paraId="7C1D3043" w14:textId="77777777" w:rsidR="00F159E1" w:rsidRPr="00F159E1" w:rsidRDefault="00F159E1" w:rsidP="000C246C">
      <w:pPr>
        <w:pStyle w:val="ListParagraph"/>
        <w:numPr>
          <w:ilvl w:val="0"/>
          <w:numId w:val="27"/>
        </w:numPr>
        <w:jc w:val="both"/>
        <w:rPr>
          <w:rStyle w:val="IntenseEmphasis"/>
          <w:i w:val="0"/>
          <w:iCs w:val="0"/>
        </w:rPr>
      </w:pPr>
      <w:r w:rsidRPr="00F159E1">
        <w:rPr>
          <w:rStyle w:val="IntenseEmphasis"/>
          <w:i w:val="0"/>
          <w:iCs w:val="0"/>
        </w:rPr>
        <w:t>Is there anything further that should be done to facilitate a transition from trial to</w:t>
      </w:r>
      <w:r>
        <w:rPr>
          <w:rStyle w:val="IntenseEmphasis"/>
          <w:i w:val="0"/>
          <w:iCs w:val="0"/>
        </w:rPr>
        <w:t xml:space="preserve"> </w:t>
      </w:r>
      <w:r w:rsidRPr="00F159E1">
        <w:rPr>
          <w:rStyle w:val="IntenseEmphasis"/>
          <w:i w:val="0"/>
          <w:iCs w:val="0"/>
        </w:rPr>
        <w:t>commercial deployment?</w:t>
      </w:r>
    </w:p>
    <w:p w14:paraId="06D1735A" w14:textId="77777777" w:rsidR="00F159E1" w:rsidRDefault="00F159E1" w:rsidP="00F159E1"/>
    <w:p w14:paraId="2C4304A9" w14:textId="77777777" w:rsidR="00F159E1" w:rsidRPr="000C246C" w:rsidRDefault="00F159E1" w:rsidP="000C246C">
      <w:pPr>
        <w:jc w:val="both"/>
        <w:rPr>
          <w:sz w:val="21"/>
          <w:szCs w:val="21"/>
        </w:rPr>
      </w:pPr>
      <w:r w:rsidRPr="000C246C">
        <w:rPr>
          <w:sz w:val="21"/>
          <w:szCs w:val="21"/>
        </w:rPr>
        <w:t xml:space="preserve">State </w:t>
      </w:r>
      <w:r w:rsidR="000C246C" w:rsidRPr="000C246C">
        <w:rPr>
          <w:sz w:val="21"/>
          <w:szCs w:val="21"/>
        </w:rPr>
        <w:t>g</w:t>
      </w:r>
      <w:r w:rsidRPr="000C246C">
        <w:rPr>
          <w:sz w:val="21"/>
          <w:szCs w:val="21"/>
        </w:rPr>
        <w:t xml:space="preserve">overnments need to </w:t>
      </w:r>
      <w:r w:rsidR="000C246C" w:rsidRPr="000C246C">
        <w:rPr>
          <w:sz w:val="21"/>
          <w:szCs w:val="21"/>
        </w:rPr>
        <w:t>support</w:t>
      </w:r>
      <w:r w:rsidRPr="000C246C">
        <w:rPr>
          <w:sz w:val="21"/>
          <w:szCs w:val="21"/>
        </w:rPr>
        <w:t xml:space="preserve"> trials and implementation to enable successful commercial </w:t>
      </w:r>
      <w:r w:rsidR="000C246C">
        <w:rPr>
          <w:sz w:val="21"/>
          <w:szCs w:val="21"/>
        </w:rPr>
        <w:t>d</w:t>
      </w:r>
      <w:r w:rsidRPr="000C246C">
        <w:rPr>
          <w:sz w:val="21"/>
          <w:szCs w:val="21"/>
        </w:rPr>
        <w:t xml:space="preserve">eployment. </w:t>
      </w:r>
      <w:r w:rsidR="000C246C">
        <w:rPr>
          <w:sz w:val="21"/>
          <w:szCs w:val="21"/>
        </w:rPr>
        <w:t>There is a lack of clarity, decisions, and information from TMR</w:t>
      </w:r>
      <w:r w:rsidRPr="000C246C">
        <w:rPr>
          <w:sz w:val="21"/>
          <w:szCs w:val="21"/>
        </w:rPr>
        <w:t xml:space="preserve"> about implementing AVs into the network or what they intend to do to enable future deployments. </w:t>
      </w:r>
      <w:r w:rsidR="000C246C">
        <w:rPr>
          <w:sz w:val="21"/>
          <w:szCs w:val="21"/>
        </w:rPr>
        <w:t>Providing an overarching vision or set of objectives regarding how they intend to integrate AVs would provide greater certainty and direction for businesses considering larger trials and commercial deployments. However it should be noted some businesses or organisations looking to trial may have had limited visibility of the NTC’s AV reform work to date and be unaware of the safety assurance system and intent to implement legislative reform and introduce the first supply criteria and in-service requirements on the ADSE.</w:t>
      </w:r>
    </w:p>
    <w:p w14:paraId="22168D61" w14:textId="77777777" w:rsidR="00F159E1" w:rsidRDefault="00F159E1" w:rsidP="00F159E1"/>
    <w:p w14:paraId="563A8EBD" w14:textId="77777777" w:rsidR="00F159E1" w:rsidRDefault="00F159E1" w:rsidP="0087285C">
      <w:pPr>
        <w:pStyle w:val="ListParagraph"/>
        <w:numPr>
          <w:ilvl w:val="0"/>
          <w:numId w:val="27"/>
        </w:numPr>
        <w:jc w:val="both"/>
        <w:rPr>
          <w:rStyle w:val="IntenseEmphasis"/>
          <w:i w:val="0"/>
          <w:iCs w:val="0"/>
        </w:rPr>
      </w:pPr>
      <w:r w:rsidRPr="00F159E1">
        <w:rPr>
          <w:rStyle w:val="IntenseEmphasis"/>
          <w:i w:val="0"/>
          <w:iCs w:val="0"/>
        </w:rPr>
        <w:t xml:space="preserve">Are there any matters that the NTC should consider in its review of the guidelines? </w:t>
      </w:r>
    </w:p>
    <w:p w14:paraId="1F82D3F6" w14:textId="77777777" w:rsidR="000C246C" w:rsidRPr="000C246C" w:rsidRDefault="000C246C" w:rsidP="000C246C">
      <w:pPr>
        <w:rPr>
          <w:rStyle w:val="IntenseEmphasis"/>
          <w:i w:val="0"/>
          <w:iCs w:val="0"/>
        </w:rPr>
      </w:pPr>
    </w:p>
    <w:p w14:paraId="790A3C09" w14:textId="77777777" w:rsidR="00F159E1" w:rsidRPr="000C246C" w:rsidRDefault="000C246C" w:rsidP="0087285C">
      <w:pPr>
        <w:jc w:val="both"/>
        <w:rPr>
          <w:color w:val="4F81BD" w:themeColor="accent1"/>
          <w:sz w:val="21"/>
          <w:szCs w:val="21"/>
        </w:rPr>
      </w:pPr>
      <w:r w:rsidRPr="000C246C">
        <w:rPr>
          <w:sz w:val="21"/>
          <w:szCs w:val="21"/>
        </w:rPr>
        <w:t>It is recommended the guidelines review should include:</w:t>
      </w:r>
    </w:p>
    <w:p w14:paraId="18AE23E7" w14:textId="77777777" w:rsidR="00F159E1" w:rsidRPr="000C246C" w:rsidRDefault="00F159E1" w:rsidP="0087285C">
      <w:pPr>
        <w:pStyle w:val="ListParagraph"/>
        <w:numPr>
          <w:ilvl w:val="0"/>
          <w:numId w:val="35"/>
        </w:numPr>
        <w:autoSpaceDE/>
        <w:autoSpaceDN/>
        <w:adjustRightInd/>
        <w:spacing w:after="160" w:line="259" w:lineRule="auto"/>
        <w:jc w:val="both"/>
        <w:rPr>
          <w:sz w:val="21"/>
          <w:szCs w:val="21"/>
        </w:rPr>
      </w:pPr>
      <w:r w:rsidRPr="000C246C">
        <w:rPr>
          <w:sz w:val="21"/>
          <w:szCs w:val="21"/>
        </w:rPr>
        <w:t>Clear and agreed definitions</w:t>
      </w:r>
    </w:p>
    <w:p w14:paraId="6BA4077E" w14:textId="77777777" w:rsidR="00F159E1" w:rsidRPr="000C246C" w:rsidRDefault="00F159E1" w:rsidP="0087285C">
      <w:pPr>
        <w:pStyle w:val="ListParagraph"/>
        <w:numPr>
          <w:ilvl w:val="0"/>
          <w:numId w:val="35"/>
        </w:numPr>
        <w:autoSpaceDE/>
        <w:autoSpaceDN/>
        <w:adjustRightInd/>
        <w:spacing w:after="160" w:line="259" w:lineRule="auto"/>
        <w:jc w:val="both"/>
        <w:rPr>
          <w:sz w:val="21"/>
          <w:szCs w:val="21"/>
        </w:rPr>
      </w:pPr>
      <w:r w:rsidRPr="000C246C">
        <w:rPr>
          <w:sz w:val="21"/>
          <w:szCs w:val="21"/>
        </w:rPr>
        <w:t>Flow charts (to avoid logic failures</w:t>
      </w:r>
      <w:r w:rsidR="000C246C">
        <w:rPr>
          <w:sz w:val="21"/>
          <w:szCs w:val="21"/>
        </w:rPr>
        <w:t xml:space="preserve"> such as the circular QPS/TMR registration permitting issue</w:t>
      </w:r>
      <w:r w:rsidRPr="000C246C">
        <w:rPr>
          <w:sz w:val="21"/>
          <w:szCs w:val="21"/>
        </w:rPr>
        <w:t>)</w:t>
      </w:r>
    </w:p>
    <w:p w14:paraId="0EC05DEB" w14:textId="77777777" w:rsidR="00F159E1" w:rsidRDefault="00F159E1" w:rsidP="0087285C">
      <w:pPr>
        <w:pStyle w:val="ListParagraph"/>
        <w:numPr>
          <w:ilvl w:val="0"/>
          <w:numId w:val="35"/>
        </w:numPr>
        <w:autoSpaceDE/>
        <w:autoSpaceDN/>
        <w:adjustRightInd/>
        <w:spacing w:after="160" w:line="259" w:lineRule="auto"/>
        <w:jc w:val="both"/>
        <w:rPr>
          <w:sz w:val="21"/>
          <w:szCs w:val="21"/>
        </w:rPr>
      </w:pPr>
      <w:r w:rsidRPr="000C246C">
        <w:rPr>
          <w:sz w:val="21"/>
          <w:szCs w:val="21"/>
        </w:rPr>
        <w:t xml:space="preserve">Templates where possible </w:t>
      </w:r>
      <w:r w:rsidR="000C246C">
        <w:rPr>
          <w:sz w:val="21"/>
          <w:szCs w:val="21"/>
        </w:rPr>
        <w:t>(e.g.</w:t>
      </w:r>
      <w:r w:rsidRPr="000C246C">
        <w:rPr>
          <w:sz w:val="21"/>
          <w:szCs w:val="21"/>
        </w:rPr>
        <w:t xml:space="preserve"> importation letters</w:t>
      </w:r>
      <w:r w:rsidR="000C246C">
        <w:rPr>
          <w:sz w:val="21"/>
          <w:szCs w:val="21"/>
        </w:rPr>
        <w:t>)</w:t>
      </w:r>
    </w:p>
    <w:p w14:paraId="04DFBEA4" w14:textId="77777777" w:rsidR="000C246C" w:rsidRPr="00C159D5" w:rsidRDefault="000C246C" w:rsidP="0087285C">
      <w:pPr>
        <w:pStyle w:val="ListParagraph"/>
        <w:numPr>
          <w:ilvl w:val="0"/>
          <w:numId w:val="35"/>
        </w:numPr>
        <w:jc w:val="both"/>
        <w:rPr>
          <w:sz w:val="21"/>
          <w:szCs w:val="21"/>
        </w:rPr>
      </w:pPr>
      <w:r w:rsidRPr="00C159D5">
        <w:rPr>
          <w:sz w:val="21"/>
          <w:szCs w:val="21"/>
        </w:rPr>
        <w:t xml:space="preserve">Guidance on accessibility </w:t>
      </w:r>
      <w:r w:rsidR="00C159D5" w:rsidRPr="00C159D5">
        <w:rPr>
          <w:sz w:val="21"/>
          <w:szCs w:val="21"/>
        </w:rPr>
        <w:t xml:space="preserve">legislative </w:t>
      </w:r>
      <w:r w:rsidRPr="00C159D5">
        <w:rPr>
          <w:sz w:val="21"/>
          <w:szCs w:val="21"/>
        </w:rPr>
        <w:t>requirements and when they are applicable</w:t>
      </w:r>
      <w:r w:rsidR="00C159D5" w:rsidRPr="00C159D5">
        <w:t xml:space="preserve"> </w:t>
      </w:r>
      <w:r w:rsidR="00C159D5">
        <w:t>as t</w:t>
      </w:r>
      <w:r w:rsidR="00C159D5" w:rsidRPr="00C159D5">
        <w:rPr>
          <w:sz w:val="21"/>
          <w:szCs w:val="21"/>
        </w:rPr>
        <w:t xml:space="preserve">hese have potentially far reaching impacts on the design, uptake and viability of AV technology and need to be addressed </w:t>
      </w:r>
      <w:r w:rsidR="00C159D5">
        <w:rPr>
          <w:sz w:val="21"/>
          <w:szCs w:val="21"/>
        </w:rPr>
        <w:t xml:space="preserve">throughout the trial design and application, </w:t>
      </w:r>
      <w:r w:rsidR="00C159D5" w:rsidRPr="00C159D5">
        <w:rPr>
          <w:sz w:val="21"/>
          <w:szCs w:val="21"/>
        </w:rPr>
        <w:t>for example:</w:t>
      </w:r>
    </w:p>
    <w:p w14:paraId="16A14AE2" w14:textId="77777777" w:rsidR="00C159D5" w:rsidRPr="00C159D5" w:rsidRDefault="00C159D5" w:rsidP="0087285C">
      <w:pPr>
        <w:pStyle w:val="ListParagraph"/>
        <w:numPr>
          <w:ilvl w:val="1"/>
          <w:numId w:val="35"/>
        </w:numPr>
        <w:jc w:val="both"/>
        <w:rPr>
          <w:sz w:val="21"/>
          <w:szCs w:val="21"/>
        </w:rPr>
      </w:pPr>
      <w:r w:rsidRPr="00C159D5">
        <w:rPr>
          <w:sz w:val="21"/>
          <w:szCs w:val="21"/>
        </w:rPr>
        <w:t>Disability Standard for Accessible Public Transport 2002</w:t>
      </w:r>
      <w:r>
        <w:rPr>
          <w:sz w:val="21"/>
          <w:szCs w:val="21"/>
        </w:rPr>
        <w:t xml:space="preserve"> (relevant to public transport trials)</w:t>
      </w:r>
    </w:p>
    <w:p w14:paraId="44C28782" w14:textId="77777777" w:rsidR="00C159D5" w:rsidRPr="00C159D5" w:rsidRDefault="00C159D5" w:rsidP="0087285C">
      <w:pPr>
        <w:pStyle w:val="ListParagraph"/>
        <w:numPr>
          <w:ilvl w:val="1"/>
          <w:numId w:val="35"/>
        </w:numPr>
        <w:jc w:val="both"/>
        <w:rPr>
          <w:sz w:val="21"/>
          <w:szCs w:val="21"/>
        </w:rPr>
      </w:pPr>
      <w:r w:rsidRPr="00C159D5">
        <w:rPr>
          <w:sz w:val="21"/>
          <w:szCs w:val="21"/>
        </w:rPr>
        <w:lastRenderedPageBreak/>
        <w:t xml:space="preserve">Disability Discrimination Act 1992 </w:t>
      </w:r>
      <w:r>
        <w:rPr>
          <w:sz w:val="21"/>
          <w:szCs w:val="21"/>
        </w:rPr>
        <w:t>(relevant to other public facing or commercial trials)</w:t>
      </w:r>
    </w:p>
    <w:p w14:paraId="75D56409" w14:textId="77777777" w:rsidR="00C159D5" w:rsidRPr="00C159D5" w:rsidRDefault="00C159D5" w:rsidP="00C159D5">
      <w:pPr>
        <w:autoSpaceDE/>
        <w:autoSpaceDN/>
        <w:adjustRightInd/>
        <w:spacing w:after="160" w:line="259" w:lineRule="auto"/>
        <w:ind w:left="1080"/>
        <w:rPr>
          <w:sz w:val="21"/>
          <w:szCs w:val="21"/>
        </w:rPr>
      </w:pPr>
    </w:p>
    <w:p w14:paraId="166B96FF" w14:textId="77777777" w:rsidR="00F159E1" w:rsidRPr="00F159E1" w:rsidRDefault="00F159E1" w:rsidP="00F159E1">
      <w:pPr>
        <w:rPr>
          <w:sz w:val="21"/>
          <w:szCs w:val="21"/>
        </w:rPr>
      </w:pPr>
    </w:p>
    <w:sectPr w:rsidR="00F159E1" w:rsidRPr="00F159E1" w:rsidSect="000D446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88" w:right="1021" w:bottom="1134" w:left="1021" w:header="57"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1A043" w14:textId="77777777" w:rsidR="00912128" w:rsidRDefault="00912128" w:rsidP="003750BB">
      <w:r>
        <w:separator/>
      </w:r>
    </w:p>
  </w:endnote>
  <w:endnote w:type="continuationSeparator" w:id="0">
    <w:p w14:paraId="44F4699B" w14:textId="77777777" w:rsidR="00912128" w:rsidRDefault="00912128" w:rsidP="0037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KCCM+Arial">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umanist 52 1 BT">
    <w:altName w:val="Calibri"/>
    <w:panose1 w:val="00000000000000000000"/>
    <w:charset w:val="00"/>
    <w:family w:val="swiss"/>
    <w:notTrueType/>
    <w:pitch w:val="default"/>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CCAD" w14:textId="77777777" w:rsidR="00376386" w:rsidRDefault="0037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84" w:type="dxa"/>
      <w:tblLayout w:type="fixed"/>
      <w:tblCellMar>
        <w:left w:w="0" w:type="dxa"/>
        <w:right w:w="0" w:type="dxa"/>
      </w:tblCellMar>
      <w:tblLook w:val="01E0" w:firstRow="1" w:lastRow="1" w:firstColumn="1" w:lastColumn="1" w:noHBand="0" w:noVBand="0"/>
    </w:tblPr>
    <w:tblGrid>
      <w:gridCol w:w="7536"/>
      <w:gridCol w:w="1548"/>
    </w:tblGrid>
    <w:tr w:rsidR="00E66BC3" w14:paraId="25CEC8CA" w14:textId="77777777" w:rsidTr="00E66BC3">
      <w:trPr>
        <w:trHeight w:hRule="exact" w:val="480"/>
      </w:trPr>
      <w:tc>
        <w:tcPr>
          <w:tcW w:w="9084" w:type="dxa"/>
          <w:gridSpan w:val="2"/>
          <w:tcMar>
            <w:bottom w:w="24" w:type="dxa"/>
            <w:right w:w="32" w:type="dxa"/>
          </w:tcMar>
          <w:vAlign w:val="bottom"/>
        </w:tcPr>
        <w:p w14:paraId="2E9B911F" w14:textId="77777777" w:rsidR="00E66BC3" w:rsidRDefault="00E66BC3" w:rsidP="002E4410">
          <w:pPr>
            <w:pStyle w:val="FooterDetails"/>
          </w:pPr>
          <w:r>
            <w:t>RACQ and Redlands City Council Joint Submission:</w:t>
          </w:r>
        </w:p>
        <w:p w14:paraId="211B0D02" w14:textId="77777777" w:rsidR="00E66BC3" w:rsidRDefault="00E66BC3" w:rsidP="002E4410">
          <w:pPr>
            <w:pStyle w:val="FooterDetails"/>
          </w:pPr>
          <w:r>
            <w:t>NTC Review of Guidelines for trials of automated vehicles in Australia</w:t>
          </w:r>
        </w:p>
      </w:tc>
    </w:tr>
    <w:tr w:rsidR="00E66BC3" w14:paraId="57C4A3CA" w14:textId="77777777" w:rsidTr="00E66BC3">
      <w:trPr>
        <w:trHeight w:hRule="exact" w:val="240"/>
      </w:trPr>
      <w:tc>
        <w:tcPr>
          <w:tcW w:w="7536" w:type="dxa"/>
          <w:tcMar>
            <w:right w:w="32" w:type="dxa"/>
          </w:tcMar>
          <w:vAlign w:val="bottom"/>
        </w:tcPr>
        <w:p w14:paraId="08F9B6AB" w14:textId="77777777" w:rsidR="00E66BC3" w:rsidRDefault="00E66BC3" w:rsidP="000D4460">
          <w:pPr>
            <w:pStyle w:val="FooterDetails"/>
          </w:pPr>
          <w:r>
            <w:t>July 2020</w:t>
          </w:r>
          <w:r>
            <w:fldChar w:fldCharType="begin"/>
          </w:r>
          <w:r>
            <w:instrText xml:space="preserve"> COMMENTS   \* MERGEFORMAT </w:instrText>
          </w:r>
          <w:r>
            <w:fldChar w:fldCharType="end"/>
          </w:r>
        </w:p>
      </w:tc>
      <w:tc>
        <w:tcPr>
          <w:tcW w:w="1548" w:type="dxa"/>
          <w:vAlign w:val="bottom"/>
        </w:tcPr>
        <w:p w14:paraId="6EE163F5" w14:textId="77777777" w:rsidR="00E66BC3" w:rsidRDefault="00E66BC3" w:rsidP="000D4460">
          <w:pPr>
            <w:pStyle w:val="PageNum"/>
          </w:pPr>
          <w:r>
            <w:t xml:space="preserve">Page: </w:t>
          </w:r>
          <w:r>
            <w:fldChar w:fldCharType="begin"/>
          </w:r>
          <w:r>
            <w:instrText xml:space="preserve"> PAGE  \* Arabic  \* MERGEFORMAT </w:instrText>
          </w:r>
          <w:r>
            <w:fldChar w:fldCharType="separate"/>
          </w:r>
          <w:r w:rsidR="00D865EE">
            <w:rPr>
              <w:noProof/>
            </w:rPr>
            <w:t>3</w:t>
          </w:r>
          <w:r>
            <w:rPr>
              <w:noProof/>
            </w:rPr>
            <w:fldChar w:fldCharType="end"/>
          </w:r>
          <w:r>
            <w:t xml:space="preserve"> of </w:t>
          </w:r>
          <w:r>
            <w:rPr>
              <w:noProof/>
            </w:rPr>
            <w:fldChar w:fldCharType="begin"/>
          </w:r>
          <w:r>
            <w:rPr>
              <w:noProof/>
            </w:rPr>
            <w:instrText xml:space="preserve"> NUMPAGES  \* Arabic  \* MERGEFORMAT </w:instrText>
          </w:r>
          <w:r>
            <w:rPr>
              <w:noProof/>
            </w:rPr>
            <w:fldChar w:fldCharType="separate"/>
          </w:r>
          <w:r w:rsidR="00D865EE">
            <w:rPr>
              <w:noProof/>
            </w:rPr>
            <w:t>9</w:t>
          </w:r>
          <w:r>
            <w:rPr>
              <w:noProof/>
            </w:rPr>
            <w:fldChar w:fldCharType="end"/>
          </w:r>
        </w:p>
      </w:tc>
    </w:tr>
  </w:tbl>
  <w:p w14:paraId="2DCC6AE7" w14:textId="77777777" w:rsidR="00E66BC3" w:rsidRPr="000D4460" w:rsidRDefault="00E66BC3" w:rsidP="000D4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84" w:type="dxa"/>
      <w:tblLayout w:type="fixed"/>
      <w:tblCellMar>
        <w:left w:w="0" w:type="dxa"/>
        <w:right w:w="0" w:type="dxa"/>
      </w:tblCellMar>
      <w:tblLook w:val="01E0" w:firstRow="1" w:lastRow="1" w:firstColumn="1" w:lastColumn="1" w:noHBand="0" w:noVBand="0"/>
    </w:tblPr>
    <w:tblGrid>
      <w:gridCol w:w="7536"/>
      <w:gridCol w:w="1548"/>
    </w:tblGrid>
    <w:tr w:rsidR="00E66BC3" w14:paraId="0588239E" w14:textId="77777777">
      <w:trPr>
        <w:trHeight w:hRule="exact" w:val="480"/>
      </w:trPr>
      <w:tc>
        <w:tcPr>
          <w:tcW w:w="9084" w:type="dxa"/>
          <w:gridSpan w:val="2"/>
          <w:tcMar>
            <w:bottom w:w="24" w:type="dxa"/>
            <w:right w:w="32" w:type="dxa"/>
          </w:tcMar>
          <w:vAlign w:val="bottom"/>
        </w:tcPr>
        <w:p w14:paraId="54B545EF" w14:textId="77777777" w:rsidR="00E66BC3" w:rsidRDefault="00E66BC3" w:rsidP="00403269">
          <w:pPr>
            <w:pStyle w:val="FooterDetails"/>
          </w:pPr>
          <w:r>
            <w:t>RACQ and Redlands City Council Joint Submission:</w:t>
          </w:r>
        </w:p>
        <w:p w14:paraId="4948B658" w14:textId="77777777" w:rsidR="00E66BC3" w:rsidRDefault="00E66BC3" w:rsidP="00403269">
          <w:pPr>
            <w:pStyle w:val="FooterDetails"/>
          </w:pPr>
          <w:r>
            <w:t>NTC Review of Guidelines for trials of automated vehicles in Australia</w:t>
          </w:r>
        </w:p>
      </w:tc>
    </w:tr>
    <w:tr w:rsidR="00E66BC3" w14:paraId="1BDB2F4A" w14:textId="77777777">
      <w:trPr>
        <w:trHeight w:hRule="exact" w:val="240"/>
      </w:trPr>
      <w:tc>
        <w:tcPr>
          <w:tcW w:w="7536" w:type="dxa"/>
          <w:tcMar>
            <w:right w:w="32" w:type="dxa"/>
          </w:tcMar>
          <w:vAlign w:val="bottom"/>
        </w:tcPr>
        <w:p w14:paraId="52CB091D" w14:textId="77777777" w:rsidR="00E66BC3" w:rsidRDefault="00E66BC3" w:rsidP="003750BB">
          <w:pPr>
            <w:pStyle w:val="FooterDetails"/>
          </w:pPr>
          <w:r>
            <w:t>July 2020</w:t>
          </w:r>
          <w:r>
            <w:fldChar w:fldCharType="begin"/>
          </w:r>
          <w:r>
            <w:instrText xml:space="preserve"> COMMENTS   \* MERGEFORMAT </w:instrText>
          </w:r>
          <w:r>
            <w:fldChar w:fldCharType="end"/>
          </w:r>
        </w:p>
      </w:tc>
      <w:tc>
        <w:tcPr>
          <w:tcW w:w="1548" w:type="dxa"/>
          <w:vAlign w:val="bottom"/>
        </w:tcPr>
        <w:p w14:paraId="52297786" w14:textId="77777777" w:rsidR="00E66BC3" w:rsidRDefault="00E66BC3" w:rsidP="003750BB">
          <w:pPr>
            <w:pStyle w:val="PageNum"/>
          </w:pPr>
          <w:r>
            <w:t xml:space="preserve">Page: </w:t>
          </w:r>
          <w:r>
            <w:fldChar w:fldCharType="begin"/>
          </w:r>
          <w:r>
            <w:instrText xml:space="preserve"> PAGE  \* Arabic  \* MERGEFORMAT </w:instrText>
          </w:r>
          <w:r>
            <w:fldChar w:fldCharType="separate"/>
          </w:r>
          <w:r w:rsidR="00521968">
            <w:rPr>
              <w:noProof/>
            </w:rPr>
            <w:t>1</w:t>
          </w:r>
          <w:r>
            <w:rPr>
              <w:noProof/>
            </w:rPr>
            <w:fldChar w:fldCharType="end"/>
          </w:r>
          <w:r>
            <w:t xml:space="preserve"> of </w:t>
          </w:r>
          <w:r>
            <w:rPr>
              <w:noProof/>
            </w:rPr>
            <w:fldChar w:fldCharType="begin"/>
          </w:r>
          <w:r>
            <w:rPr>
              <w:noProof/>
            </w:rPr>
            <w:instrText xml:space="preserve"> NUMPAGES  \* Arabic  \* MERGEFORMAT </w:instrText>
          </w:r>
          <w:r>
            <w:rPr>
              <w:noProof/>
            </w:rPr>
            <w:fldChar w:fldCharType="separate"/>
          </w:r>
          <w:r w:rsidR="00521968">
            <w:rPr>
              <w:noProof/>
            </w:rPr>
            <w:t>9</w:t>
          </w:r>
          <w:r>
            <w:rPr>
              <w:noProof/>
            </w:rPr>
            <w:fldChar w:fldCharType="end"/>
          </w:r>
        </w:p>
      </w:tc>
    </w:tr>
  </w:tbl>
  <w:p w14:paraId="42B1FB08" w14:textId="77777777" w:rsidR="00E66BC3" w:rsidRDefault="00E66BC3" w:rsidP="0037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BE95A" w14:textId="77777777" w:rsidR="00912128" w:rsidRDefault="00912128" w:rsidP="003750BB">
      <w:r>
        <w:separator/>
      </w:r>
    </w:p>
  </w:footnote>
  <w:footnote w:type="continuationSeparator" w:id="0">
    <w:p w14:paraId="65176526" w14:textId="77777777" w:rsidR="00912128" w:rsidRDefault="00912128" w:rsidP="0037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A155F" w14:textId="77777777" w:rsidR="00376386" w:rsidRDefault="00376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38" w:type="dxa"/>
      <w:tblLayout w:type="fixed"/>
      <w:tblCellMar>
        <w:left w:w="0" w:type="dxa"/>
        <w:right w:w="0" w:type="dxa"/>
      </w:tblCellMar>
      <w:tblLook w:val="01E0" w:firstRow="1" w:lastRow="1" w:firstColumn="1" w:lastColumn="1" w:noHBand="0" w:noVBand="0"/>
    </w:tblPr>
    <w:tblGrid>
      <w:gridCol w:w="9038"/>
    </w:tblGrid>
    <w:tr w:rsidR="00E66BC3" w14:paraId="11262573" w14:textId="77777777">
      <w:trPr>
        <w:trHeight w:hRule="exact" w:val="1600"/>
      </w:trPr>
      <w:tc>
        <w:tcPr>
          <w:tcW w:w="9038" w:type="dxa"/>
          <w:vAlign w:val="bottom"/>
        </w:tcPr>
        <w:p w14:paraId="7736ECC4" w14:textId="77777777" w:rsidR="00E66BC3" w:rsidRDefault="00E66BC3" w:rsidP="003750BB">
          <w:pPr>
            <w:pStyle w:val="spacer"/>
          </w:pPr>
          <w:r>
            <w:rPr>
              <w:noProof/>
            </w:rPr>
            <w:drawing>
              <wp:anchor distT="0" distB="0" distL="114300" distR="114300" simplePos="0" relativeHeight="251663360" behindDoc="0" locked="0" layoutInCell="1" allowOverlap="1" wp14:anchorId="75767EB1" wp14:editId="5DE730EE">
                <wp:simplePos x="0" y="0"/>
                <wp:positionH relativeFrom="margin">
                  <wp:posOffset>39370</wp:posOffset>
                </wp:positionH>
                <wp:positionV relativeFrom="paragraph">
                  <wp:posOffset>175895</wp:posOffset>
                </wp:positionV>
                <wp:extent cx="735965" cy="793115"/>
                <wp:effectExtent l="0" t="0" r="6985" b="6985"/>
                <wp:wrapSquare wrapText="bothSides"/>
                <wp:docPr id="12" name="Picture 12" descr="Redlan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and Cit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094CF235" wp14:editId="67F48343">
                    <wp:simplePos x="0" y="0"/>
                    <wp:positionH relativeFrom="page">
                      <wp:posOffset>5203825</wp:posOffset>
                    </wp:positionH>
                    <wp:positionV relativeFrom="page">
                      <wp:posOffset>309245</wp:posOffset>
                    </wp:positionV>
                    <wp:extent cx="516255" cy="201295"/>
                    <wp:effectExtent l="0" t="0" r="0" b="0"/>
                    <wp:wrapNone/>
                    <wp:docPr id="6" name="blu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255" cy="201295"/>
                            </a:xfrm>
                            <a:custGeom>
                              <a:avLst/>
                              <a:gdLst>
                                <a:gd name="T0" fmla="*/ 690 w 995"/>
                                <a:gd name="T1" fmla="*/ 331 h 388"/>
                                <a:gd name="T2" fmla="*/ 498 w 995"/>
                                <a:gd name="T3" fmla="*/ 388 h 388"/>
                                <a:gd name="T4" fmla="*/ 290 w 995"/>
                                <a:gd name="T5" fmla="*/ 317 h 388"/>
                                <a:gd name="T6" fmla="*/ 159 w 995"/>
                                <a:gd name="T7" fmla="*/ 164 h 388"/>
                                <a:gd name="T8" fmla="*/ 100 w 995"/>
                                <a:gd name="T9" fmla="*/ 93 h 388"/>
                                <a:gd name="T10" fmla="*/ 0 w 995"/>
                                <a:gd name="T11" fmla="*/ 0 h 388"/>
                                <a:gd name="T12" fmla="*/ 124 w 995"/>
                                <a:gd name="T13" fmla="*/ 0 h 388"/>
                                <a:gd name="T14" fmla="*/ 283 w 995"/>
                                <a:gd name="T15" fmla="*/ 78 h 388"/>
                                <a:gd name="T16" fmla="*/ 430 w 995"/>
                                <a:gd name="T17" fmla="*/ 254 h 388"/>
                                <a:gd name="T18" fmla="*/ 635 w 995"/>
                                <a:gd name="T19" fmla="*/ 332 h 388"/>
                                <a:gd name="T20" fmla="*/ 495 w 995"/>
                                <a:gd name="T21" fmla="*/ 254 h 388"/>
                                <a:gd name="T22" fmla="*/ 348 w 995"/>
                                <a:gd name="T23" fmla="*/ 78 h 388"/>
                                <a:gd name="T24" fmla="*/ 321 w 995"/>
                                <a:gd name="T25" fmla="*/ 46 h 388"/>
                                <a:gd name="T26" fmla="*/ 243 w 995"/>
                                <a:gd name="T27" fmla="*/ 0 h 388"/>
                                <a:gd name="T28" fmla="*/ 314 w 995"/>
                                <a:gd name="T29" fmla="*/ 15 h 388"/>
                                <a:gd name="T30" fmla="*/ 361 w 995"/>
                                <a:gd name="T31" fmla="*/ 51 h 388"/>
                                <a:gd name="T32" fmla="*/ 463 w 995"/>
                                <a:gd name="T33" fmla="*/ 176 h 388"/>
                                <a:gd name="T34" fmla="*/ 512 w 995"/>
                                <a:gd name="T35" fmla="*/ 234 h 388"/>
                                <a:gd name="T36" fmla="*/ 672 w 995"/>
                                <a:gd name="T37" fmla="*/ 44 h 388"/>
                                <a:gd name="T38" fmla="*/ 781 w 995"/>
                                <a:gd name="T39" fmla="*/ 0 h 388"/>
                                <a:gd name="T40" fmla="*/ 704 w 995"/>
                                <a:gd name="T41" fmla="*/ 46 h 388"/>
                                <a:gd name="T42" fmla="*/ 529 w 995"/>
                                <a:gd name="T43" fmla="*/ 254 h 388"/>
                                <a:gd name="T44" fmla="*/ 593 w 995"/>
                                <a:gd name="T45" fmla="*/ 207 h 388"/>
                                <a:gd name="T46" fmla="*/ 726 w 995"/>
                                <a:gd name="T47" fmla="*/ 48 h 388"/>
                                <a:gd name="T48" fmla="*/ 835 w 995"/>
                                <a:gd name="T49" fmla="*/ 0 h 388"/>
                                <a:gd name="T50" fmla="*/ 758 w 995"/>
                                <a:gd name="T51" fmla="*/ 50 h 388"/>
                                <a:gd name="T52" fmla="*/ 746 w 995"/>
                                <a:gd name="T53" fmla="*/ 64 h 388"/>
                                <a:gd name="T54" fmla="*/ 562 w 995"/>
                                <a:gd name="T55" fmla="*/ 284 h 388"/>
                                <a:gd name="T56" fmla="*/ 626 w 995"/>
                                <a:gd name="T57" fmla="*/ 237 h 388"/>
                                <a:gd name="T58" fmla="*/ 781 w 995"/>
                                <a:gd name="T59" fmla="*/ 52 h 388"/>
                                <a:gd name="T60" fmla="*/ 888 w 995"/>
                                <a:gd name="T61" fmla="*/ 0 h 388"/>
                                <a:gd name="T62" fmla="*/ 813 w 995"/>
                                <a:gd name="T63" fmla="*/ 54 h 388"/>
                                <a:gd name="T64" fmla="*/ 801 w 995"/>
                                <a:gd name="T65" fmla="*/ 68 h 388"/>
                                <a:gd name="T66" fmla="*/ 602 w 995"/>
                                <a:gd name="T67" fmla="*/ 305 h 388"/>
                                <a:gd name="T68" fmla="*/ 666 w 995"/>
                                <a:gd name="T69" fmla="*/ 258 h 388"/>
                                <a:gd name="T70" fmla="*/ 835 w 995"/>
                                <a:gd name="T71" fmla="*/ 56 h 388"/>
                                <a:gd name="T72" fmla="*/ 942 w 995"/>
                                <a:gd name="T73" fmla="*/ 0 h 388"/>
                                <a:gd name="T74" fmla="*/ 868 w 995"/>
                                <a:gd name="T75" fmla="*/ 57 h 388"/>
                                <a:gd name="T76" fmla="*/ 855 w 995"/>
                                <a:gd name="T77" fmla="*/ 72 h 388"/>
                                <a:gd name="T78" fmla="*/ 654 w 995"/>
                                <a:gd name="T79" fmla="*/ 312 h 388"/>
                                <a:gd name="T80" fmla="*/ 718 w 995"/>
                                <a:gd name="T81" fmla="*/ 265 h 388"/>
                                <a:gd name="T82" fmla="*/ 889 w 995"/>
                                <a:gd name="T83" fmla="*/ 60 h 388"/>
                                <a:gd name="T84" fmla="*/ 995 w 995"/>
                                <a:gd name="T85" fmla="*/ 0 h 388"/>
                                <a:gd name="T86" fmla="*/ 910 w 995"/>
                                <a:gd name="T87" fmla="*/ 76 h 388"/>
                                <a:gd name="T88" fmla="*/ 725 w 995"/>
                                <a:gd name="T89" fmla="*/ 296 h 388"/>
                                <a:gd name="T90" fmla="*/ 690 w 995"/>
                                <a:gd name="T91" fmla="*/ 331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95" h="388">
                                  <a:moveTo>
                                    <a:pt x="690" y="331"/>
                                  </a:moveTo>
                                  <a:cubicBezTo>
                                    <a:pt x="639" y="371"/>
                                    <a:pt x="577" y="388"/>
                                    <a:pt x="498" y="388"/>
                                  </a:cubicBezTo>
                                  <a:cubicBezTo>
                                    <a:pt x="411" y="388"/>
                                    <a:pt x="343" y="367"/>
                                    <a:pt x="290" y="317"/>
                                  </a:cubicBezTo>
                                  <a:cubicBezTo>
                                    <a:pt x="159" y="164"/>
                                    <a:pt x="159" y="164"/>
                                    <a:pt x="159" y="164"/>
                                  </a:cubicBezTo>
                                  <a:cubicBezTo>
                                    <a:pt x="100" y="93"/>
                                    <a:pt x="100" y="93"/>
                                    <a:pt x="100" y="93"/>
                                  </a:cubicBezTo>
                                  <a:cubicBezTo>
                                    <a:pt x="60" y="42"/>
                                    <a:pt x="15" y="10"/>
                                    <a:pt x="0" y="0"/>
                                  </a:cubicBezTo>
                                  <a:cubicBezTo>
                                    <a:pt x="124" y="0"/>
                                    <a:pt x="124" y="0"/>
                                    <a:pt x="124" y="0"/>
                                  </a:cubicBezTo>
                                  <a:cubicBezTo>
                                    <a:pt x="195" y="0"/>
                                    <a:pt x="243" y="31"/>
                                    <a:pt x="283" y="78"/>
                                  </a:cubicBezTo>
                                  <a:cubicBezTo>
                                    <a:pt x="430" y="254"/>
                                    <a:pt x="430" y="254"/>
                                    <a:pt x="430" y="254"/>
                                  </a:cubicBezTo>
                                  <a:cubicBezTo>
                                    <a:pt x="482" y="315"/>
                                    <a:pt x="552" y="369"/>
                                    <a:pt x="635" y="332"/>
                                  </a:cubicBezTo>
                                  <a:cubicBezTo>
                                    <a:pt x="575" y="332"/>
                                    <a:pt x="546" y="313"/>
                                    <a:pt x="495" y="254"/>
                                  </a:cubicBezTo>
                                  <a:cubicBezTo>
                                    <a:pt x="348" y="78"/>
                                    <a:pt x="348" y="78"/>
                                    <a:pt x="348" y="78"/>
                                  </a:cubicBezTo>
                                  <a:cubicBezTo>
                                    <a:pt x="321" y="46"/>
                                    <a:pt x="321" y="46"/>
                                    <a:pt x="321" y="46"/>
                                  </a:cubicBezTo>
                                  <a:cubicBezTo>
                                    <a:pt x="283" y="1"/>
                                    <a:pt x="255" y="1"/>
                                    <a:pt x="243" y="0"/>
                                  </a:cubicBezTo>
                                  <a:cubicBezTo>
                                    <a:pt x="270" y="0"/>
                                    <a:pt x="294" y="5"/>
                                    <a:pt x="314" y="15"/>
                                  </a:cubicBezTo>
                                  <a:cubicBezTo>
                                    <a:pt x="329" y="23"/>
                                    <a:pt x="348" y="36"/>
                                    <a:pt x="361" y="51"/>
                                  </a:cubicBezTo>
                                  <a:cubicBezTo>
                                    <a:pt x="463" y="176"/>
                                    <a:pt x="463" y="176"/>
                                    <a:pt x="463" y="176"/>
                                  </a:cubicBezTo>
                                  <a:cubicBezTo>
                                    <a:pt x="512" y="234"/>
                                    <a:pt x="512" y="234"/>
                                    <a:pt x="512" y="234"/>
                                  </a:cubicBezTo>
                                  <a:cubicBezTo>
                                    <a:pt x="672" y="44"/>
                                    <a:pt x="672" y="44"/>
                                    <a:pt x="672" y="44"/>
                                  </a:cubicBezTo>
                                  <a:cubicBezTo>
                                    <a:pt x="695" y="16"/>
                                    <a:pt x="733" y="0"/>
                                    <a:pt x="781" y="0"/>
                                  </a:cubicBezTo>
                                  <a:cubicBezTo>
                                    <a:pt x="769" y="1"/>
                                    <a:pt x="741" y="1"/>
                                    <a:pt x="704" y="46"/>
                                  </a:cubicBezTo>
                                  <a:cubicBezTo>
                                    <a:pt x="529" y="254"/>
                                    <a:pt x="529" y="254"/>
                                    <a:pt x="529" y="254"/>
                                  </a:cubicBezTo>
                                  <a:cubicBezTo>
                                    <a:pt x="538" y="253"/>
                                    <a:pt x="558" y="248"/>
                                    <a:pt x="593" y="207"/>
                                  </a:cubicBezTo>
                                  <a:cubicBezTo>
                                    <a:pt x="726" y="48"/>
                                    <a:pt x="726" y="48"/>
                                    <a:pt x="726" y="48"/>
                                  </a:cubicBezTo>
                                  <a:cubicBezTo>
                                    <a:pt x="754" y="15"/>
                                    <a:pt x="796" y="0"/>
                                    <a:pt x="835" y="0"/>
                                  </a:cubicBezTo>
                                  <a:cubicBezTo>
                                    <a:pt x="822" y="3"/>
                                    <a:pt x="797" y="5"/>
                                    <a:pt x="758" y="50"/>
                                  </a:cubicBezTo>
                                  <a:cubicBezTo>
                                    <a:pt x="757" y="51"/>
                                    <a:pt x="747" y="63"/>
                                    <a:pt x="746" y="64"/>
                                  </a:cubicBezTo>
                                  <a:cubicBezTo>
                                    <a:pt x="562" y="284"/>
                                    <a:pt x="562" y="284"/>
                                    <a:pt x="562" y="284"/>
                                  </a:cubicBezTo>
                                  <a:cubicBezTo>
                                    <a:pt x="570" y="283"/>
                                    <a:pt x="591" y="278"/>
                                    <a:pt x="626" y="237"/>
                                  </a:cubicBezTo>
                                  <a:cubicBezTo>
                                    <a:pt x="781" y="52"/>
                                    <a:pt x="781" y="52"/>
                                    <a:pt x="781" y="52"/>
                                  </a:cubicBezTo>
                                  <a:cubicBezTo>
                                    <a:pt x="813" y="14"/>
                                    <a:pt x="858" y="0"/>
                                    <a:pt x="888" y="0"/>
                                  </a:cubicBezTo>
                                  <a:cubicBezTo>
                                    <a:pt x="875" y="5"/>
                                    <a:pt x="852" y="8"/>
                                    <a:pt x="813" y="54"/>
                                  </a:cubicBezTo>
                                  <a:cubicBezTo>
                                    <a:pt x="811" y="56"/>
                                    <a:pt x="803" y="65"/>
                                    <a:pt x="801" y="68"/>
                                  </a:cubicBezTo>
                                  <a:cubicBezTo>
                                    <a:pt x="602" y="305"/>
                                    <a:pt x="602" y="305"/>
                                    <a:pt x="602" y="305"/>
                                  </a:cubicBezTo>
                                  <a:cubicBezTo>
                                    <a:pt x="610" y="304"/>
                                    <a:pt x="631" y="299"/>
                                    <a:pt x="666" y="258"/>
                                  </a:cubicBezTo>
                                  <a:cubicBezTo>
                                    <a:pt x="835" y="56"/>
                                    <a:pt x="835" y="56"/>
                                    <a:pt x="835" y="56"/>
                                  </a:cubicBezTo>
                                  <a:cubicBezTo>
                                    <a:pt x="872" y="12"/>
                                    <a:pt x="920" y="0"/>
                                    <a:pt x="942" y="0"/>
                                  </a:cubicBezTo>
                                  <a:cubicBezTo>
                                    <a:pt x="929" y="7"/>
                                    <a:pt x="908" y="12"/>
                                    <a:pt x="868" y="57"/>
                                  </a:cubicBezTo>
                                  <a:cubicBezTo>
                                    <a:pt x="865" y="61"/>
                                    <a:pt x="859" y="68"/>
                                    <a:pt x="855" y="72"/>
                                  </a:cubicBezTo>
                                  <a:cubicBezTo>
                                    <a:pt x="654" y="312"/>
                                    <a:pt x="654" y="312"/>
                                    <a:pt x="654" y="312"/>
                                  </a:cubicBezTo>
                                  <a:cubicBezTo>
                                    <a:pt x="662" y="311"/>
                                    <a:pt x="683" y="306"/>
                                    <a:pt x="718" y="265"/>
                                  </a:cubicBezTo>
                                  <a:cubicBezTo>
                                    <a:pt x="889" y="60"/>
                                    <a:pt x="889" y="60"/>
                                    <a:pt x="889" y="60"/>
                                  </a:cubicBezTo>
                                  <a:cubicBezTo>
                                    <a:pt x="930" y="11"/>
                                    <a:pt x="982" y="0"/>
                                    <a:pt x="995" y="0"/>
                                  </a:cubicBezTo>
                                  <a:cubicBezTo>
                                    <a:pt x="981" y="10"/>
                                    <a:pt x="960" y="16"/>
                                    <a:pt x="910" y="76"/>
                                  </a:cubicBezTo>
                                  <a:cubicBezTo>
                                    <a:pt x="725" y="296"/>
                                    <a:pt x="725" y="296"/>
                                    <a:pt x="725" y="296"/>
                                  </a:cubicBezTo>
                                  <a:cubicBezTo>
                                    <a:pt x="714" y="309"/>
                                    <a:pt x="702" y="321"/>
                                    <a:pt x="690" y="331"/>
                                  </a:cubicBezTo>
                                </a:path>
                              </a:pathLst>
                            </a:custGeom>
                            <a:solidFill>
                              <a:srgbClr val="0034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7C2F" id="blue2" o:spid="_x0000_s1026" style="position:absolute;margin-left:409.75pt;margin-top:24.35pt;width:40.6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" path="m690,331v-51,40,-113,57,-192,57c411,388,343,367,290,317,159,164,159,164,159,164,100,93,100,93,100,93,60,42,15,10,,,124,,124,,124,v71,,119,31,159,78c430,254,430,254,430,254v52,61,122,115,205,78c575,332,546,313,495,254,348,78,348,78,348,78,321,46,321,46,321,46,283,1,255,1,243,v27,,51,5,71,15c329,23,348,36,361,51,463,176,463,176,463,176v49,58,49,58,49,58c672,44,672,44,672,44,695,16,733,,781,,769,1,741,1,704,46,529,254,529,254,529,254v9,-1,29,-6,64,-47c726,48,726,48,726,48,754,15,796,,835,,822,3,797,5,758,50v-1,1,-11,13,-12,14c562,284,562,284,562,284v8,-1,29,-6,64,-47c781,52,781,52,781,52,813,14,858,,888,,875,5,852,8,813,54v-2,2,-10,11,-12,14c602,305,602,305,602,305v8,-1,29,-6,64,-47c835,56,835,56,835,56,872,12,920,,942,,929,7,908,12,868,57v-3,4,-9,11,-13,15c654,312,654,312,654,312v8,-1,29,-6,64,-47c889,60,889,60,889,60,930,11,982,,995,,981,10,960,16,910,76,725,296,725,296,725,296v-11,13,-23,25,-35,35e" fillcolor="#003478" stroked="f">
                    <v:path arrowok="t" o:connecttype="custom" o:connectlocs="358006,171723;258387,201295;150466,164460;82497,85083;51885,48249;0,0;64337,0;146834,40467;223105,131776;329469,172242;256830,131776;180560,40467;166551,23865;126080,0;162919,7782;187305,26459;240227,91309;265651,121400;348667,22827;405221,0;365270,23865;274471,131776;307678,107392;376685,24902;433239,0;393288,25940;387062,33203;291593,147340;324800,122956;405221,26978;460738,0;421824,28015;415598,35279;312347,158234;345554,133851;433239,29053;488756,0;450361,29572;443616,37354;339327,161866;372534,137482;461257,31128;516255,0;472153,39429;376166,153565;358006,171723" o:connectangles="0,0,0,0,0,0,0,0,0,0,0,0,0,0,0,0,0,0,0,0,0,0,0,0,0,0,0,0,0,0,0,0,0,0,0,0,0,0,0,0,0,0,0,0,0,0"/>
                    <w10:wrap anchorx="page" anchory="page"/>
                    <w10:anchorlock/>
                  </v:shape>
                </w:pict>
              </mc:Fallback>
            </mc:AlternateContent>
          </w:r>
        </w:p>
      </w:tc>
    </w:tr>
  </w:tbl>
  <w:p w14:paraId="7F776532" w14:textId="77777777" w:rsidR="00E66BC3" w:rsidRDefault="00E66BC3" w:rsidP="00375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7E73" w14:textId="77777777" w:rsidR="00E66BC3" w:rsidRDefault="00E66BC3" w:rsidP="006E5C48">
    <w:pPr>
      <w:pStyle w:val="NormalWeb"/>
      <w:shd w:val="clear" w:color="auto" w:fill="FFFFFF"/>
      <w:jc w:val="both"/>
      <w:textAlignment w:val="baseline"/>
    </w:pPr>
    <w:r>
      <w:rPr>
        <w:noProof/>
        <w:lang w:eastAsia="en-AU"/>
      </w:rPr>
      <w:drawing>
        <wp:anchor distT="0" distB="0" distL="114300" distR="114300" simplePos="0" relativeHeight="251661312" behindDoc="0" locked="0" layoutInCell="1" allowOverlap="1" wp14:anchorId="2A5CA165" wp14:editId="3EA8636D">
          <wp:simplePos x="0" y="0"/>
          <wp:positionH relativeFrom="margin">
            <wp:posOffset>-115941</wp:posOffset>
          </wp:positionH>
          <wp:positionV relativeFrom="paragraph">
            <wp:posOffset>240030</wp:posOffset>
          </wp:positionV>
          <wp:extent cx="735965" cy="793115"/>
          <wp:effectExtent l="0" t="0" r="6985" b="6985"/>
          <wp:wrapSquare wrapText="bothSides"/>
          <wp:docPr id="4" name="Picture 4" descr="Redlan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and Cit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793115"/>
                  </a:xfrm>
                  <a:prstGeom prst="rect">
                    <a:avLst/>
                  </a:prstGeom>
                  <a:noFill/>
                  <a:ln>
                    <a:noFill/>
                  </a:ln>
                </pic:spPr>
              </pic:pic>
            </a:graphicData>
          </a:graphic>
        </wp:anchor>
      </w:drawing>
    </w:r>
    <w:r>
      <w:tab/>
    </w:r>
    <w:r>
      <w:tab/>
    </w:r>
    <w:r>
      <w:tab/>
    </w:r>
    <w:r>
      <w:tab/>
    </w:r>
  </w:p>
  <w:p w14:paraId="29C8EAAE" w14:textId="77777777" w:rsidR="00E66BC3" w:rsidRDefault="00E66BC3" w:rsidP="006E5C48">
    <w:pPr>
      <w:pStyle w:val="NormalWeb"/>
      <w:shd w:val="clear" w:color="auto" w:fill="FFFFFF"/>
      <w:jc w:val="both"/>
      <w:textAlignment w:val="baseline"/>
    </w:pPr>
    <w:r w:rsidRPr="006E5C48">
      <w:rPr>
        <w:noProof/>
        <w:lang w:eastAsia="en-AU"/>
      </w:rPr>
      <mc:AlternateContent>
        <mc:Choice Requires="wpg">
          <w:drawing>
            <wp:anchor distT="0" distB="0" distL="114300" distR="114300" simplePos="0" relativeHeight="251660288" behindDoc="0" locked="0" layoutInCell="1" allowOverlap="1" wp14:anchorId="5CFB2E3A" wp14:editId="2B295AE9">
              <wp:simplePos x="0" y="0"/>
              <wp:positionH relativeFrom="column">
                <wp:posOffset>5567944</wp:posOffset>
              </wp:positionH>
              <wp:positionV relativeFrom="paragraph">
                <wp:posOffset>90805</wp:posOffset>
              </wp:positionV>
              <wp:extent cx="1123315" cy="284480"/>
              <wp:effectExtent l="0" t="0" r="635" b="1270"/>
              <wp:wrapNone/>
              <wp:docPr id="5" name="Logo_RACQ_p1"/>
              <wp:cNvGraphicFramePr/>
              <a:graphic xmlns:a="http://schemas.openxmlformats.org/drawingml/2006/main">
                <a:graphicData uri="http://schemas.microsoft.com/office/word/2010/wordprocessingGroup">
                  <wpg:wgp>
                    <wpg:cNvGrpSpPr/>
                    <wpg:grpSpPr bwMode="auto">
                      <a:xfrm>
                        <a:off x="0" y="0"/>
                        <a:ext cx="1123315" cy="284480"/>
                        <a:chOff x="0" y="0"/>
                        <a:chExt cx="2842" cy="720"/>
                      </a:xfrm>
                    </wpg:grpSpPr>
                    <wps:wsp>
                      <wps:cNvPr id="7" name="bw1" hidden="1"/>
                      <wps:cNvSpPr>
                        <a:spLocks noEditPoints="1"/>
                      </wps:cNvSpPr>
                      <wps:spPr bwMode="auto">
                        <a:xfrm>
                          <a:off x="0" y="1"/>
                          <a:ext cx="2825" cy="719"/>
                        </a:xfrm>
                        <a:custGeom>
                          <a:avLst/>
                          <a:gdLst>
                            <a:gd name="T0" fmla="*/ 519 w 563"/>
                            <a:gd name="T1" fmla="*/ 129 h 143"/>
                            <a:gd name="T2" fmla="*/ 563 w 563"/>
                            <a:gd name="T3" fmla="*/ 80 h 143"/>
                            <a:gd name="T4" fmla="*/ 518 w 563"/>
                            <a:gd name="T5" fmla="*/ 123 h 143"/>
                            <a:gd name="T6" fmla="*/ 541 w 563"/>
                            <a:gd name="T7" fmla="*/ 92 h 143"/>
                            <a:gd name="T8" fmla="*/ 555 w 563"/>
                            <a:gd name="T9" fmla="*/ 80 h 143"/>
                            <a:gd name="T10" fmla="*/ 510 w 563"/>
                            <a:gd name="T11" fmla="*/ 122 h 143"/>
                            <a:gd name="T12" fmla="*/ 532 w 563"/>
                            <a:gd name="T13" fmla="*/ 91 h 143"/>
                            <a:gd name="T14" fmla="*/ 546 w 563"/>
                            <a:gd name="T15" fmla="*/ 80 h 143"/>
                            <a:gd name="T16" fmla="*/ 503 w 563"/>
                            <a:gd name="T17" fmla="*/ 119 h 143"/>
                            <a:gd name="T18" fmla="*/ 523 w 563"/>
                            <a:gd name="T19" fmla="*/ 91 h 143"/>
                            <a:gd name="T20" fmla="*/ 537 w 563"/>
                            <a:gd name="T21" fmla="*/ 80 h 143"/>
                            <a:gd name="T22" fmla="*/ 498 w 563"/>
                            <a:gd name="T23" fmla="*/ 114 h 143"/>
                            <a:gd name="T24" fmla="*/ 516 w 563"/>
                            <a:gd name="T25" fmla="*/ 88 h 143"/>
                            <a:gd name="T26" fmla="*/ 511 w 563"/>
                            <a:gd name="T27" fmla="*/ 88 h 143"/>
                            <a:gd name="T28" fmla="*/ 477 w 563"/>
                            <a:gd name="T29" fmla="*/ 109 h 143"/>
                            <a:gd name="T30" fmla="*/ 468 w 563"/>
                            <a:gd name="T31" fmla="*/ 12 h 143"/>
                            <a:gd name="T32" fmla="*/ 371 w 563"/>
                            <a:gd name="T33" fmla="*/ 25 h 143"/>
                            <a:gd name="T34" fmla="*/ 387 w 563"/>
                            <a:gd name="T35" fmla="*/ 135 h 143"/>
                            <a:gd name="T36" fmla="*/ 449 w 563"/>
                            <a:gd name="T37" fmla="*/ 132 h 143"/>
                            <a:gd name="T38" fmla="*/ 514 w 563"/>
                            <a:gd name="T39" fmla="*/ 134 h 143"/>
                            <a:gd name="T40" fmla="*/ 418 w 563"/>
                            <a:gd name="T41" fmla="*/ 96 h 143"/>
                            <a:gd name="T42" fmla="*/ 416 w 563"/>
                            <a:gd name="T43" fmla="*/ 109 h 143"/>
                            <a:gd name="T44" fmla="*/ 427 w 563"/>
                            <a:gd name="T45" fmla="*/ 30 h 143"/>
                            <a:gd name="T46" fmla="*/ 453 w 563"/>
                            <a:gd name="T47" fmla="*/ 83 h 143"/>
                            <a:gd name="T48" fmla="*/ 454 w 563"/>
                            <a:gd name="T49" fmla="*/ 88 h 143"/>
                            <a:gd name="T50" fmla="*/ 482 w 563"/>
                            <a:gd name="T51" fmla="*/ 122 h 143"/>
                            <a:gd name="T52" fmla="*/ 471 w 563"/>
                            <a:gd name="T53" fmla="*/ 122 h 143"/>
                            <a:gd name="T54" fmla="*/ 422 w 563"/>
                            <a:gd name="T55" fmla="*/ 80 h 143"/>
                            <a:gd name="T56" fmla="*/ 244 w 563"/>
                            <a:gd name="T57" fmla="*/ 78 h 143"/>
                            <a:gd name="T58" fmla="*/ 322 w 563"/>
                            <a:gd name="T59" fmla="*/ 0 h 143"/>
                            <a:gd name="T60" fmla="*/ 360 w 563"/>
                            <a:gd name="T61" fmla="*/ 27 h 143"/>
                            <a:gd name="T62" fmla="*/ 336 w 563"/>
                            <a:gd name="T63" fmla="*/ 33 h 143"/>
                            <a:gd name="T64" fmla="*/ 279 w 563"/>
                            <a:gd name="T65" fmla="*/ 76 h 143"/>
                            <a:gd name="T66" fmla="*/ 329 w 563"/>
                            <a:gd name="T67" fmla="*/ 105 h 143"/>
                            <a:gd name="T68" fmla="*/ 350 w 563"/>
                            <a:gd name="T69" fmla="*/ 109 h 143"/>
                            <a:gd name="T70" fmla="*/ 306 w 563"/>
                            <a:gd name="T71" fmla="*/ 140 h 143"/>
                            <a:gd name="T72" fmla="*/ 244 w 563"/>
                            <a:gd name="T73" fmla="*/ 78 h 143"/>
                            <a:gd name="T74" fmla="*/ 181 w 563"/>
                            <a:gd name="T75" fmla="*/ 2 h 143"/>
                            <a:gd name="T76" fmla="*/ 107 w 563"/>
                            <a:gd name="T77" fmla="*/ 99 h 143"/>
                            <a:gd name="T78" fmla="*/ 125 w 563"/>
                            <a:gd name="T79" fmla="*/ 45 h 143"/>
                            <a:gd name="T80" fmla="*/ 61 w 563"/>
                            <a:gd name="T81" fmla="*/ 2 h 143"/>
                            <a:gd name="T82" fmla="*/ 0 w 563"/>
                            <a:gd name="T83" fmla="*/ 138 h 143"/>
                            <a:gd name="T84" fmla="*/ 44 w 563"/>
                            <a:gd name="T85" fmla="*/ 84 h 143"/>
                            <a:gd name="T86" fmla="*/ 72 w 563"/>
                            <a:gd name="T87" fmla="*/ 99 h 143"/>
                            <a:gd name="T88" fmla="*/ 108 w 563"/>
                            <a:gd name="T89" fmla="*/ 138 h 143"/>
                            <a:gd name="T90" fmla="*/ 151 w 563"/>
                            <a:gd name="T91" fmla="*/ 126 h 143"/>
                            <a:gd name="T92" fmla="*/ 209 w 563"/>
                            <a:gd name="T93" fmla="*/ 109 h 143"/>
                            <a:gd name="T94" fmla="*/ 234 w 563"/>
                            <a:gd name="T95" fmla="*/ 138 h 143"/>
                            <a:gd name="T96" fmla="*/ 222 w 563"/>
                            <a:gd name="T97" fmla="*/ 2 h 143"/>
                            <a:gd name="T98" fmla="*/ 61 w 563"/>
                            <a:gd name="T99" fmla="*/ 60 h 143"/>
                            <a:gd name="T100" fmla="*/ 52 w 563"/>
                            <a:gd name="T101" fmla="*/ 27 h 143"/>
                            <a:gd name="T102" fmla="*/ 90 w 563"/>
                            <a:gd name="T103" fmla="*/ 43 h 143"/>
                            <a:gd name="T104" fmla="*/ 195 w 563"/>
                            <a:gd name="T105" fmla="*/ 42 h 143"/>
                            <a:gd name="T106" fmla="*/ 173 w 563"/>
                            <a:gd name="T107" fmla="*/ 8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63" h="143">
                              <a:moveTo>
                                <a:pt x="514" y="134"/>
                              </a:moveTo>
                              <a:cubicBezTo>
                                <a:pt x="516" y="133"/>
                                <a:pt x="518" y="131"/>
                                <a:pt x="519" y="129"/>
                              </a:cubicBezTo>
                              <a:cubicBezTo>
                                <a:pt x="549" y="93"/>
                                <a:pt x="549" y="93"/>
                                <a:pt x="549" y="93"/>
                              </a:cubicBezTo>
                              <a:cubicBezTo>
                                <a:pt x="558" y="83"/>
                                <a:pt x="561" y="82"/>
                                <a:pt x="563" y="80"/>
                              </a:cubicBezTo>
                              <a:cubicBezTo>
                                <a:pt x="561" y="80"/>
                                <a:pt x="553" y="82"/>
                                <a:pt x="546" y="90"/>
                              </a:cubicBezTo>
                              <a:cubicBezTo>
                                <a:pt x="518" y="123"/>
                                <a:pt x="518" y="123"/>
                                <a:pt x="518" y="123"/>
                              </a:cubicBezTo>
                              <a:cubicBezTo>
                                <a:pt x="513" y="130"/>
                                <a:pt x="509" y="131"/>
                                <a:pt x="508" y="131"/>
                              </a:cubicBezTo>
                              <a:cubicBezTo>
                                <a:pt x="541" y="92"/>
                                <a:pt x="541" y="92"/>
                                <a:pt x="541" y="92"/>
                              </a:cubicBezTo>
                              <a:cubicBezTo>
                                <a:pt x="541" y="91"/>
                                <a:pt x="542" y="90"/>
                                <a:pt x="543" y="90"/>
                              </a:cubicBezTo>
                              <a:cubicBezTo>
                                <a:pt x="549" y="82"/>
                                <a:pt x="552" y="82"/>
                                <a:pt x="555" y="80"/>
                              </a:cubicBezTo>
                              <a:cubicBezTo>
                                <a:pt x="551" y="80"/>
                                <a:pt x="543" y="82"/>
                                <a:pt x="537" y="90"/>
                              </a:cubicBezTo>
                              <a:cubicBezTo>
                                <a:pt x="510" y="122"/>
                                <a:pt x="510" y="122"/>
                                <a:pt x="510" y="122"/>
                              </a:cubicBezTo>
                              <a:cubicBezTo>
                                <a:pt x="504" y="129"/>
                                <a:pt x="501" y="130"/>
                                <a:pt x="499" y="130"/>
                              </a:cubicBezTo>
                              <a:cubicBezTo>
                                <a:pt x="532" y="91"/>
                                <a:pt x="532" y="91"/>
                                <a:pt x="532" y="91"/>
                              </a:cubicBezTo>
                              <a:cubicBezTo>
                                <a:pt x="532" y="91"/>
                                <a:pt x="533" y="89"/>
                                <a:pt x="534" y="89"/>
                              </a:cubicBezTo>
                              <a:cubicBezTo>
                                <a:pt x="540" y="82"/>
                                <a:pt x="544" y="81"/>
                                <a:pt x="546" y="80"/>
                              </a:cubicBezTo>
                              <a:cubicBezTo>
                                <a:pt x="541" y="80"/>
                                <a:pt x="534" y="83"/>
                                <a:pt x="528" y="89"/>
                              </a:cubicBezTo>
                              <a:cubicBezTo>
                                <a:pt x="503" y="119"/>
                                <a:pt x="503" y="119"/>
                                <a:pt x="503" y="119"/>
                              </a:cubicBezTo>
                              <a:cubicBezTo>
                                <a:pt x="498" y="126"/>
                                <a:pt x="494" y="126"/>
                                <a:pt x="493" y="127"/>
                              </a:cubicBezTo>
                              <a:cubicBezTo>
                                <a:pt x="523" y="91"/>
                                <a:pt x="523" y="91"/>
                                <a:pt x="523" y="91"/>
                              </a:cubicBezTo>
                              <a:cubicBezTo>
                                <a:pt x="523" y="91"/>
                                <a:pt x="525" y="89"/>
                                <a:pt x="525" y="89"/>
                              </a:cubicBezTo>
                              <a:cubicBezTo>
                                <a:pt x="531" y="81"/>
                                <a:pt x="535" y="81"/>
                                <a:pt x="537" y="80"/>
                              </a:cubicBezTo>
                              <a:cubicBezTo>
                                <a:pt x="531" y="80"/>
                                <a:pt x="524" y="83"/>
                                <a:pt x="520" y="88"/>
                              </a:cubicBezTo>
                              <a:cubicBezTo>
                                <a:pt x="498" y="114"/>
                                <a:pt x="498" y="114"/>
                                <a:pt x="498" y="114"/>
                              </a:cubicBezTo>
                              <a:cubicBezTo>
                                <a:pt x="492" y="121"/>
                                <a:pt x="489" y="122"/>
                                <a:pt x="488" y="122"/>
                              </a:cubicBezTo>
                              <a:cubicBezTo>
                                <a:pt x="516" y="88"/>
                                <a:pt x="516" y="88"/>
                                <a:pt x="516" y="88"/>
                              </a:cubicBezTo>
                              <a:cubicBezTo>
                                <a:pt x="522" y="81"/>
                                <a:pt x="527" y="81"/>
                                <a:pt x="529" y="80"/>
                              </a:cubicBezTo>
                              <a:cubicBezTo>
                                <a:pt x="521" y="80"/>
                                <a:pt x="515" y="83"/>
                                <a:pt x="511" y="88"/>
                              </a:cubicBezTo>
                              <a:cubicBezTo>
                                <a:pt x="485" y="119"/>
                                <a:pt x="485" y="119"/>
                                <a:pt x="485" y="119"/>
                              </a:cubicBezTo>
                              <a:cubicBezTo>
                                <a:pt x="477" y="109"/>
                                <a:pt x="477" y="109"/>
                                <a:pt x="477" y="109"/>
                              </a:cubicBezTo>
                              <a:cubicBezTo>
                                <a:pt x="487" y="95"/>
                                <a:pt x="492" y="78"/>
                                <a:pt x="492" y="61"/>
                              </a:cubicBezTo>
                              <a:cubicBezTo>
                                <a:pt x="492" y="41"/>
                                <a:pt x="483" y="23"/>
                                <a:pt x="468" y="12"/>
                              </a:cubicBezTo>
                              <a:cubicBezTo>
                                <a:pt x="458" y="3"/>
                                <a:pt x="444" y="0"/>
                                <a:pt x="429" y="0"/>
                              </a:cubicBezTo>
                              <a:cubicBezTo>
                                <a:pt x="406" y="0"/>
                                <a:pt x="386" y="9"/>
                                <a:pt x="371" y="25"/>
                              </a:cubicBezTo>
                              <a:cubicBezTo>
                                <a:pt x="358" y="39"/>
                                <a:pt x="351" y="57"/>
                                <a:pt x="351" y="78"/>
                              </a:cubicBezTo>
                              <a:cubicBezTo>
                                <a:pt x="351" y="104"/>
                                <a:pt x="365" y="125"/>
                                <a:pt x="387" y="135"/>
                              </a:cubicBezTo>
                              <a:cubicBezTo>
                                <a:pt x="395" y="139"/>
                                <a:pt x="404" y="140"/>
                                <a:pt x="412" y="140"/>
                              </a:cubicBezTo>
                              <a:cubicBezTo>
                                <a:pt x="432" y="140"/>
                                <a:pt x="443" y="135"/>
                                <a:pt x="449" y="132"/>
                              </a:cubicBezTo>
                              <a:cubicBezTo>
                                <a:pt x="457" y="140"/>
                                <a:pt x="468" y="143"/>
                                <a:pt x="482" y="143"/>
                              </a:cubicBezTo>
                              <a:cubicBezTo>
                                <a:pt x="495" y="143"/>
                                <a:pt x="505" y="141"/>
                                <a:pt x="514" y="134"/>
                              </a:cubicBezTo>
                              <a:moveTo>
                                <a:pt x="402" y="80"/>
                              </a:moveTo>
                              <a:cubicBezTo>
                                <a:pt x="404" y="82"/>
                                <a:pt x="411" y="87"/>
                                <a:pt x="418" y="96"/>
                              </a:cubicBezTo>
                              <a:cubicBezTo>
                                <a:pt x="428" y="107"/>
                                <a:pt x="428" y="107"/>
                                <a:pt x="428" y="107"/>
                              </a:cubicBezTo>
                              <a:cubicBezTo>
                                <a:pt x="424" y="108"/>
                                <a:pt x="420" y="109"/>
                                <a:pt x="416" y="109"/>
                              </a:cubicBezTo>
                              <a:cubicBezTo>
                                <a:pt x="397" y="109"/>
                                <a:pt x="386" y="97"/>
                                <a:pt x="386" y="75"/>
                              </a:cubicBezTo>
                              <a:cubicBezTo>
                                <a:pt x="386" y="49"/>
                                <a:pt x="404" y="30"/>
                                <a:pt x="427" y="30"/>
                              </a:cubicBezTo>
                              <a:cubicBezTo>
                                <a:pt x="444" y="30"/>
                                <a:pt x="456" y="43"/>
                                <a:pt x="456" y="63"/>
                              </a:cubicBezTo>
                              <a:cubicBezTo>
                                <a:pt x="456" y="69"/>
                                <a:pt x="455" y="77"/>
                                <a:pt x="453" y="83"/>
                              </a:cubicBezTo>
                              <a:cubicBezTo>
                                <a:pt x="449" y="81"/>
                                <a:pt x="446" y="80"/>
                                <a:pt x="441" y="80"/>
                              </a:cubicBezTo>
                              <a:cubicBezTo>
                                <a:pt x="443" y="81"/>
                                <a:pt x="448" y="81"/>
                                <a:pt x="454" y="88"/>
                              </a:cubicBezTo>
                              <a:cubicBezTo>
                                <a:pt x="458" y="93"/>
                                <a:pt x="458" y="93"/>
                                <a:pt x="458" y="93"/>
                              </a:cubicBezTo>
                              <a:cubicBezTo>
                                <a:pt x="482" y="122"/>
                                <a:pt x="482" y="122"/>
                                <a:pt x="482" y="122"/>
                              </a:cubicBezTo>
                              <a:cubicBezTo>
                                <a:pt x="490" y="131"/>
                                <a:pt x="495" y="134"/>
                                <a:pt x="505" y="134"/>
                              </a:cubicBezTo>
                              <a:cubicBezTo>
                                <a:pt x="491" y="140"/>
                                <a:pt x="480" y="132"/>
                                <a:pt x="471" y="122"/>
                              </a:cubicBezTo>
                              <a:cubicBezTo>
                                <a:pt x="448" y="93"/>
                                <a:pt x="448" y="93"/>
                                <a:pt x="448" y="93"/>
                              </a:cubicBezTo>
                              <a:cubicBezTo>
                                <a:pt x="441" y="85"/>
                                <a:pt x="433" y="80"/>
                                <a:pt x="422" y="80"/>
                              </a:cubicBezTo>
                              <a:lnTo>
                                <a:pt x="402" y="80"/>
                              </a:lnTo>
                              <a:close/>
                              <a:moveTo>
                                <a:pt x="244" y="78"/>
                              </a:moveTo>
                              <a:cubicBezTo>
                                <a:pt x="244" y="58"/>
                                <a:pt x="250" y="39"/>
                                <a:pt x="264" y="25"/>
                              </a:cubicBezTo>
                              <a:cubicBezTo>
                                <a:pt x="280" y="8"/>
                                <a:pt x="300" y="0"/>
                                <a:pt x="322" y="0"/>
                              </a:cubicBezTo>
                              <a:cubicBezTo>
                                <a:pt x="343" y="0"/>
                                <a:pt x="360" y="9"/>
                                <a:pt x="368" y="17"/>
                              </a:cubicBezTo>
                              <a:cubicBezTo>
                                <a:pt x="368" y="17"/>
                                <a:pt x="360" y="27"/>
                                <a:pt x="360" y="27"/>
                              </a:cubicBezTo>
                              <a:cubicBezTo>
                                <a:pt x="355" y="32"/>
                                <a:pt x="352" y="35"/>
                                <a:pt x="348" y="35"/>
                              </a:cubicBezTo>
                              <a:cubicBezTo>
                                <a:pt x="345" y="36"/>
                                <a:pt x="341" y="35"/>
                                <a:pt x="336" y="33"/>
                              </a:cubicBezTo>
                              <a:cubicBezTo>
                                <a:pt x="333" y="31"/>
                                <a:pt x="326" y="30"/>
                                <a:pt x="320" y="30"/>
                              </a:cubicBezTo>
                              <a:cubicBezTo>
                                <a:pt x="297" y="30"/>
                                <a:pt x="279" y="48"/>
                                <a:pt x="279" y="76"/>
                              </a:cubicBezTo>
                              <a:cubicBezTo>
                                <a:pt x="279" y="102"/>
                                <a:pt x="295" y="109"/>
                                <a:pt x="308" y="109"/>
                              </a:cubicBezTo>
                              <a:cubicBezTo>
                                <a:pt x="317" y="109"/>
                                <a:pt x="325" y="106"/>
                                <a:pt x="329" y="105"/>
                              </a:cubicBezTo>
                              <a:cubicBezTo>
                                <a:pt x="333" y="103"/>
                                <a:pt x="337" y="102"/>
                                <a:pt x="339" y="102"/>
                              </a:cubicBezTo>
                              <a:cubicBezTo>
                                <a:pt x="344" y="103"/>
                                <a:pt x="347" y="104"/>
                                <a:pt x="350" y="109"/>
                              </a:cubicBezTo>
                              <a:cubicBezTo>
                                <a:pt x="350" y="109"/>
                                <a:pt x="358" y="121"/>
                                <a:pt x="358" y="121"/>
                              </a:cubicBezTo>
                              <a:cubicBezTo>
                                <a:pt x="352" y="126"/>
                                <a:pt x="337" y="140"/>
                                <a:pt x="306" y="140"/>
                              </a:cubicBezTo>
                              <a:cubicBezTo>
                                <a:pt x="300" y="140"/>
                                <a:pt x="290" y="140"/>
                                <a:pt x="279" y="134"/>
                              </a:cubicBezTo>
                              <a:cubicBezTo>
                                <a:pt x="261" y="126"/>
                                <a:pt x="244" y="108"/>
                                <a:pt x="244" y="78"/>
                              </a:cubicBezTo>
                              <a:moveTo>
                                <a:pt x="222" y="2"/>
                              </a:moveTo>
                              <a:cubicBezTo>
                                <a:pt x="181" y="2"/>
                                <a:pt x="181" y="2"/>
                                <a:pt x="181" y="2"/>
                              </a:cubicBezTo>
                              <a:cubicBezTo>
                                <a:pt x="119" y="121"/>
                                <a:pt x="119" y="121"/>
                                <a:pt x="119" y="121"/>
                              </a:cubicBezTo>
                              <a:cubicBezTo>
                                <a:pt x="107" y="99"/>
                                <a:pt x="107" y="99"/>
                                <a:pt x="107" y="99"/>
                              </a:cubicBezTo>
                              <a:cubicBezTo>
                                <a:pt x="101" y="87"/>
                                <a:pt x="98" y="82"/>
                                <a:pt x="92" y="79"/>
                              </a:cubicBezTo>
                              <a:cubicBezTo>
                                <a:pt x="112" y="74"/>
                                <a:pt x="121" y="63"/>
                                <a:pt x="125" y="45"/>
                              </a:cubicBezTo>
                              <a:cubicBezTo>
                                <a:pt x="128" y="27"/>
                                <a:pt x="118" y="15"/>
                                <a:pt x="105" y="8"/>
                              </a:cubicBezTo>
                              <a:cubicBezTo>
                                <a:pt x="96" y="2"/>
                                <a:pt x="79" y="2"/>
                                <a:pt x="61" y="2"/>
                              </a:cubicBezTo>
                              <a:cubicBezTo>
                                <a:pt x="21" y="2"/>
                                <a:pt x="21" y="2"/>
                                <a:pt x="21" y="2"/>
                              </a:cubicBezTo>
                              <a:cubicBezTo>
                                <a:pt x="0" y="138"/>
                                <a:pt x="0" y="138"/>
                                <a:pt x="0" y="138"/>
                              </a:cubicBezTo>
                              <a:cubicBezTo>
                                <a:pt x="35" y="138"/>
                                <a:pt x="35" y="138"/>
                                <a:pt x="35" y="138"/>
                              </a:cubicBezTo>
                              <a:cubicBezTo>
                                <a:pt x="44" y="84"/>
                                <a:pt x="44" y="84"/>
                                <a:pt x="44" y="84"/>
                              </a:cubicBezTo>
                              <a:cubicBezTo>
                                <a:pt x="46" y="84"/>
                                <a:pt x="46" y="84"/>
                                <a:pt x="46" y="84"/>
                              </a:cubicBezTo>
                              <a:cubicBezTo>
                                <a:pt x="53" y="84"/>
                                <a:pt x="65" y="86"/>
                                <a:pt x="72" y="99"/>
                              </a:cubicBezTo>
                              <a:cubicBezTo>
                                <a:pt x="72" y="99"/>
                                <a:pt x="86" y="126"/>
                                <a:pt x="86" y="126"/>
                              </a:cubicBezTo>
                              <a:cubicBezTo>
                                <a:pt x="92" y="137"/>
                                <a:pt x="96" y="138"/>
                                <a:pt x="108" y="138"/>
                              </a:cubicBezTo>
                              <a:cubicBezTo>
                                <a:pt x="108" y="138"/>
                                <a:pt x="128" y="138"/>
                                <a:pt x="128" y="138"/>
                              </a:cubicBezTo>
                              <a:cubicBezTo>
                                <a:pt x="137" y="138"/>
                                <a:pt x="146" y="138"/>
                                <a:pt x="151" y="126"/>
                              </a:cubicBezTo>
                              <a:cubicBezTo>
                                <a:pt x="160" y="109"/>
                                <a:pt x="160" y="109"/>
                                <a:pt x="160" y="109"/>
                              </a:cubicBezTo>
                              <a:cubicBezTo>
                                <a:pt x="209" y="109"/>
                                <a:pt x="209" y="109"/>
                                <a:pt x="209" y="109"/>
                              </a:cubicBezTo>
                              <a:cubicBezTo>
                                <a:pt x="209" y="109"/>
                                <a:pt x="213" y="126"/>
                                <a:pt x="213" y="126"/>
                              </a:cubicBezTo>
                              <a:cubicBezTo>
                                <a:pt x="215" y="138"/>
                                <a:pt x="224" y="138"/>
                                <a:pt x="234" y="138"/>
                              </a:cubicBezTo>
                              <a:cubicBezTo>
                                <a:pt x="251" y="138"/>
                                <a:pt x="251" y="138"/>
                                <a:pt x="251" y="138"/>
                              </a:cubicBezTo>
                              <a:cubicBezTo>
                                <a:pt x="222" y="2"/>
                                <a:pt x="222" y="2"/>
                                <a:pt x="222" y="2"/>
                              </a:cubicBezTo>
                              <a:moveTo>
                                <a:pt x="90" y="43"/>
                              </a:moveTo>
                              <a:cubicBezTo>
                                <a:pt x="89" y="50"/>
                                <a:pt x="85" y="60"/>
                                <a:pt x="61" y="60"/>
                              </a:cubicBezTo>
                              <a:cubicBezTo>
                                <a:pt x="61" y="60"/>
                                <a:pt x="47" y="60"/>
                                <a:pt x="47" y="60"/>
                              </a:cubicBezTo>
                              <a:cubicBezTo>
                                <a:pt x="52" y="27"/>
                                <a:pt x="52" y="27"/>
                                <a:pt x="52" y="27"/>
                              </a:cubicBezTo>
                              <a:cubicBezTo>
                                <a:pt x="52" y="27"/>
                                <a:pt x="67" y="27"/>
                                <a:pt x="67" y="27"/>
                              </a:cubicBezTo>
                              <a:cubicBezTo>
                                <a:pt x="91" y="27"/>
                                <a:pt x="91" y="37"/>
                                <a:pt x="90" y="43"/>
                              </a:cubicBezTo>
                              <a:close/>
                              <a:moveTo>
                                <a:pt x="173" y="84"/>
                              </a:moveTo>
                              <a:cubicBezTo>
                                <a:pt x="195" y="42"/>
                                <a:pt x="195" y="42"/>
                                <a:pt x="195" y="42"/>
                              </a:cubicBezTo>
                              <a:cubicBezTo>
                                <a:pt x="204" y="84"/>
                                <a:pt x="204" y="84"/>
                                <a:pt x="204" y="84"/>
                              </a:cubicBezTo>
                              <a:lnTo>
                                <a:pt x="173"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col1" descr="Colour Branding Elements-01 900dpi 8bit"/>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130" y="401"/>
                          <a:ext cx="712" cy="291"/>
                        </a:xfrm>
                        <a:prstGeom prst="rect">
                          <a:avLst/>
                        </a:prstGeom>
                        <a:noFill/>
                        <a:extLst>
                          <a:ext uri="{909E8E84-426E-40DD-AFC4-6F175D3DCCD1}">
                            <a14:hiddenFill xmlns:a14="http://schemas.microsoft.com/office/drawing/2010/main">
                              <a:solidFill>
                                <a:srgbClr val="FFFFFF"/>
                              </a:solidFill>
                            </a14:hiddenFill>
                          </a:ext>
                        </a:extLst>
                      </pic:spPr>
                    </pic:pic>
                    <wps:wsp>
                      <wps:cNvPr id="11" name="col2"/>
                      <wps:cNvSpPr>
                        <a:spLocks noChangeAspect="1" noEditPoints="1"/>
                      </wps:cNvSpPr>
                      <wps:spPr bwMode="auto">
                        <a:xfrm>
                          <a:off x="0" y="0"/>
                          <a:ext cx="2588" cy="720"/>
                        </a:xfrm>
                        <a:custGeom>
                          <a:avLst/>
                          <a:gdLst>
                            <a:gd name="T0" fmla="*/ 8687 w 17008"/>
                            <a:gd name="T1" fmla="*/ 831 h 4735"/>
                            <a:gd name="T2" fmla="*/ 12112 w 17008"/>
                            <a:gd name="T3" fmla="*/ 564 h 4735"/>
                            <a:gd name="T4" fmla="*/ 11458 w 17008"/>
                            <a:gd name="T5" fmla="*/ 1168 h 4735"/>
                            <a:gd name="T6" fmla="*/ 10549 w 17008"/>
                            <a:gd name="T7" fmla="*/ 990 h 4735"/>
                            <a:gd name="T8" fmla="*/ 10145 w 17008"/>
                            <a:gd name="T9" fmla="*/ 3614 h 4735"/>
                            <a:gd name="T10" fmla="*/ 11171 w 17008"/>
                            <a:gd name="T11" fmla="*/ 3375 h 4735"/>
                            <a:gd name="T12" fmla="*/ 11783 w 17008"/>
                            <a:gd name="T13" fmla="*/ 3992 h 4735"/>
                            <a:gd name="T14" fmla="*/ 9173 w 17008"/>
                            <a:gd name="T15" fmla="*/ 4441 h 4735"/>
                            <a:gd name="T16" fmla="*/ 7297 w 17008"/>
                            <a:gd name="T17" fmla="*/ 61 h 4735"/>
                            <a:gd name="T18" fmla="*/ 3897 w 17008"/>
                            <a:gd name="T19" fmla="*/ 3982 h 4735"/>
                            <a:gd name="T20" fmla="*/ 3029 w 17008"/>
                            <a:gd name="T21" fmla="*/ 2628 h 4735"/>
                            <a:gd name="T22" fmla="*/ 3462 w 17008"/>
                            <a:gd name="T23" fmla="*/ 264 h 4735"/>
                            <a:gd name="T24" fmla="*/ 669 w 17008"/>
                            <a:gd name="T25" fmla="*/ 66 h 4735"/>
                            <a:gd name="T26" fmla="*/ 1161 w 17008"/>
                            <a:gd name="T27" fmla="*/ 4547 h 4735"/>
                            <a:gd name="T28" fmla="*/ 1518 w 17008"/>
                            <a:gd name="T29" fmla="*/ 2779 h 4735"/>
                            <a:gd name="T30" fmla="*/ 2826 w 17008"/>
                            <a:gd name="T31" fmla="*/ 4150 h 4735"/>
                            <a:gd name="T32" fmla="*/ 4219 w 17008"/>
                            <a:gd name="T33" fmla="*/ 4546 h 4735"/>
                            <a:gd name="T34" fmla="*/ 5271 w 17008"/>
                            <a:gd name="T35" fmla="*/ 3591 h 4735"/>
                            <a:gd name="T36" fmla="*/ 7018 w 17008"/>
                            <a:gd name="T37" fmla="*/ 4170 h 4735"/>
                            <a:gd name="T38" fmla="*/ 8264 w 17008"/>
                            <a:gd name="T39" fmla="*/ 4547 h 4735"/>
                            <a:gd name="T40" fmla="*/ 2959 w 17008"/>
                            <a:gd name="T41" fmla="*/ 1442 h 4735"/>
                            <a:gd name="T42" fmla="*/ 1547 w 17008"/>
                            <a:gd name="T43" fmla="*/ 1972 h 4735"/>
                            <a:gd name="T44" fmla="*/ 2205 w 17008"/>
                            <a:gd name="T45" fmla="*/ 887 h 4735"/>
                            <a:gd name="T46" fmla="*/ 5698 w 17008"/>
                            <a:gd name="T47" fmla="*/ 2779 h 4735"/>
                            <a:gd name="T48" fmla="*/ 6716 w 17008"/>
                            <a:gd name="T49" fmla="*/ 2779 h 4735"/>
                            <a:gd name="T50" fmla="*/ 17008 w 17008"/>
                            <a:gd name="T51" fmla="*/ 4431 h 4735"/>
                            <a:gd name="T52" fmla="*/ 14855 w 17008"/>
                            <a:gd name="T53" fmla="*/ 3078 h 4735"/>
                            <a:gd name="T54" fmla="*/ 13318 w 17008"/>
                            <a:gd name="T55" fmla="*/ 2659 h 4735"/>
                            <a:gd name="T56" fmla="*/ 14157 w 17008"/>
                            <a:gd name="T57" fmla="*/ 3519 h 4735"/>
                            <a:gd name="T58" fmla="*/ 12716 w 17008"/>
                            <a:gd name="T59" fmla="*/ 2486 h 4735"/>
                            <a:gd name="T60" fmla="*/ 15022 w 17008"/>
                            <a:gd name="T61" fmla="*/ 2079 h 4735"/>
                            <a:gd name="T62" fmla="*/ 14927 w 17008"/>
                            <a:gd name="T63" fmla="*/ 2685 h 4735"/>
                            <a:gd name="T64" fmla="*/ 15744 w 17008"/>
                            <a:gd name="T65" fmla="*/ 3538 h 4735"/>
                            <a:gd name="T66" fmla="*/ 16192 w 17008"/>
                            <a:gd name="T67" fmla="*/ 2031 h 4735"/>
                            <a:gd name="T68" fmla="*/ 14110 w 17008"/>
                            <a:gd name="T69" fmla="*/ 1 h 4735"/>
                            <a:gd name="T70" fmla="*/ 11556 w 17008"/>
                            <a:gd name="T71" fmla="*/ 2586 h 4735"/>
                            <a:gd name="T72" fmla="*/ 13574 w 17008"/>
                            <a:gd name="T73" fmla="*/ 4607 h 4735"/>
                            <a:gd name="T74" fmla="*/ 15981 w 17008"/>
                            <a:gd name="T75" fmla="*/ 4735 h 4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08" h="4735">
                              <a:moveTo>
                                <a:pt x="8040" y="2588"/>
                              </a:moveTo>
                              <a:cubicBezTo>
                                <a:pt x="8040" y="1928"/>
                                <a:pt x="8235" y="1307"/>
                                <a:pt x="8687" y="831"/>
                              </a:cubicBezTo>
                              <a:cubicBezTo>
                                <a:pt x="9227" y="263"/>
                                <a:pt x="9880" y="2"/>
                                <a:pt x="10594" y="2"/>
                              </a:cubicBezTo>
                              <a:cubicBezTo>
                                <a:pt x="11307" y="2"/>
                                <a:pt x="11840" y="292"/>
                                <a:pt x="12112" y="564"/>
                              </a:cubicBezTo>
                              <a:cubicBezTo>
                                <a:pt x="12112" y="564"/>
                                <a:pt x="11840" y="903"/>
                                <a:pt x="11840" y="903"/>
                              </a:cubicBezTo>
                              <a:cubicBezTo>
                                <a:pt x="11694" y="1081"/>
                                <a:pt x="11591" y="1151"/>
                                <a:pt x="11458" y="1168"/>
                              </a:cubicBezTo>
                              <a:cubicBezTo>
                                <a:pt x="11341" y="1183"/>
                                <a:pt x="11223" y="1178"/>
                                <a:pt x="11064" y="1103"/>
                              </a:cubicBezTo>
                              <a:cubicBezTo>
                                <a:pt x="10947" y="1048"/>
                                <a:pt x="10748" y="990"/>
                                <a:pt x="10549" y="990"/>
                              </a:cubicBezTo>
                              <a:cubicBezTo>
                                <a:pt x="9772" y="990"/>
                                <a:pt x="9198" y="1583"/>
                                <a:pt x="9198" y="2499"/>
                              </a:cubicBezTo>
                              <a:cubicBezTo>
                                <a:pt x="9198" y="3367"/>
                                <a:pt x="9702" y="3614"/>
                                <a:pt x="10145" y="3614"/>
                              </a:cubicBezTo>
                              <a:cubicBezTo>
                                <a:pt x="10443" y="3614"/>
                                <a:pt x="10708" y="3514"/>
                                <a:pt x="10832" y="3456"/>
                              </a:cubicBezTo>
                              <a:cubicBezTo>
                                <a:pt x="10953" y="3399"/>
                                <a:pt x="11094" y="3368"/>
                                <a:pt x="11171" y="3375"/>
                              </a:cubicBezTo>
                              <a:cubicBezTo>
                                <a:pt x="11331" y="3387"/>
                                <a:pt x="11431" y="3435"/>
                                <a:pt x="11532" y="3606"/>
                              </a:cubicBezTo>
                              <a:cubicBezTo>
                                <a:pt x="11532" y="3606"/>
                                <a:pt x="11782" y="3991"/>
                                <a:pt x="11783" y="3992"/>
                              </a:cubicBezTo>
                              <a:cubicBezTo>
                                <a:pt x="11587" y="4158"/>
                                <a:pt x="11087" y="4609"/>
                                <a:pt x="10057" y="4609"/>
                              </a:cubicBezTo>
                              <a:cubicBezTo>
                                <a:pt x="9889" y="4609"/>
                                <a:pt x="9543" y="4619"/>
                                <a:pt x="9173" y="4441"/>
                              </a:cubicBezTo>
                              <a:cubicBezTo>
                                <a:pt x="8604" y="4167"/>
                                <a:pt x="8040" y="3560"/>
                                <a:pt x="8040" y="2588"/>
                              </a:cubicBezTo>
                              <a:close/>
                              <a:moveTo>
                                <a:pt x="7297" y="61"/>
                              </a:moveTo>
                              <a:cubicBezTo>
                                <a:pt x="5962" y="61"/>
                                <a:pt x="5962" y="61"/>
                                <a:pt x="5962" y="61"/>
                              </a:cubicBezTo>
                              <a:cubicBezTo>
                                <a:pt x="3897" y="3982"/>
                                <a:pt x="3897" y="3982"/>
                                <a:pt x="3897" y="3982"/>
                              </a:cubicBezTo>
                              <a:cubicBezTo>
                                <a:pt x="3516" y="3267"/>
                                <a:pt x="3516" y="3267"/>
                                <a:pt x="3516" y="3267"/>
                              </a:cubicBezTo>
                              <a:cubicBezTo>
                                <a:pt x="3306" y="2865"/>
                                <a:pt x="3205" y="2696"/>
                                <a:pt x="3029" y="2628"/>
                              </a:cubicBezTo>
                              <a:cubicBezTo>
                                <a:pt x="3675" y="2451"/>
                                <a:pt x="3993" y="2086"/>
                                <a:pt x="4103" y="1495"/>
                              </a:cubicBezTo>
                              <a:cubicBezTo>
                                <a:pt x="4212" y="908"/>
                                <a:pt x="3888" y="516"/>
                                <a:pt x="3462" y="264"/>
                              </a:cubicBezTo>
                              <a:cubicBezTo>
                                <a:pt x="3151" y="80"/>
                                <a:pt x="2607" y="67"/>
                                <a:pt x="2000" y="66"/>
                              </a:cubicBezTo>
                              <a:cubicBezTo>
                                <a:pt x="669" y="66"/>
                                <a:pt x="669" y="66"/>
                                <a:pt x="669" y="66"/>
                              </a:cubicBezTo>
                              <a:cubicBezTo>
                                <a:pt x="0" y="4547"/>
                                <a:pt x="0" y="4547"/>
                                <a:pt x="0" y="4547"/>
                              </a:cubicBezTo>
                              <a:cubicBezTo>
                                <a:pt x="1161" y="4547"/>
                                <a:pt x="1161" y="4547"/>
                                <a:pt x="1161" y="4547"/>
                              </a:cubicBezTo>
                              <a:cubicBezTo>
                                <a:pt x="1426" y="2779"/>
                                <a:pt x="1426" y="2779"/>
                                <a:pt x="1426" y="2779"/>
                              </a:cubicBezTo>
                              <a:cubicBezTo>
                                <a:pt x="1518" y="2779"/>
                                <a:pt x="1518" y="2779"/>
                                <a:pt x="1518" y="2779"/>
                              </a:cubicBezTo>
                              <a:cubicBezTo>
                                <a:pt x="1749" y="2779"/>
                                <a:pt x="2137" y="2848"/>
                                <a:pt x="2362" y="3282"/>
                              </a:cubicBezTo>
                              <a:cubicBezTo>
                                <a:pt x="2359" y="3285"/>
                                <a:pt x="2825" y="4148"/>
                                <a:pt x="2826" y="4150"/>
                              </a:cubicBezTo>
                              <a:cubicBezTo>
                                <a:pt x="3015" y="4518"/>
                                <a:pt x="3160" y="4547"/>
                                <a:pt x="3553" y="4547"/>
                              </a:cubicBezTo>
                              <a:cubicBezTo>
                                <a:pt x="3554" y="4546"/>
                                <a:pt x="4219" y="4546"/>
                                <a:pt x="4219" y="4546"/>
                              </a:cubicBezTo>
                              <a:cubicBezTo>
                                <a:pt x="4511" y="4546"/>
                                <a:pt x="4791" y="4547"/>
                                <a:pt x="4966" y="4173"/>
                              </a:cubicBezTo>
                              <a:cubicBezTo>
                                <a:pt x="5271" y="3591"/>
                                <a:pt x="5271" y="3591"/>
                                <a:pt x="5271" y="3591"/>
                              </a:cubicBezTo>
                              <a:cubicBezTo>
                                <a:pt x="6891" y="3591"/>
                                <a:pt x="6891" y="3591"/>
                                <a:pt x="6891" y="3591"/>
                              </a:cubicBezTo>
                              <a:cubicBezTo>
                                <a:pt x="6891" y="3591"/>
                                <a:pt x="7020" y="4171"/>
                                <a:pt x="7018" y="4170"/>
                              </a:cubicBezTo>
                              <a:cubicBezTo>
                                <a:pt x="7088" y="4544"/>
                                <a:pt x="7382" y="4549"/>
                                <a:pt x="7688" y="4547"/>
                              </a:cubicBezTo>
                              <a:cubicBezTo>
                                <a:pt x="8264" y="4547"/>
                                <a:pt x="8264" y="4547"/>
                                <a:pt x="8264" y="4547"/>
                              </a:cubicBezTo>
                              <a:lnTo>
                                <a:pt x="7297" y="61"/>
                              </a:lnTo>
                              <a:close/>
                              <a:moveTo>
                                <a:pt x="2959" y="1442"/>
                              </a:moveTo>
                              <a:cubicBezTo>
                                <a:pt x="2927" y="1644"/>
                                <a:pt x="2779" y="1972"/>
                                <a:pt x="1998" y="1972"/>
                              </a:cubicBezTo>
                              <a:cubicBezTo>
                                <a:pt x="1997" y="1972"/>
                                <a:pt x="1547" y="1972"/>
                                <a:pt x="1547" y="1972"/>
                              </a:cubicBezTo>
                              <a:cubicBezTo>
                                <a:pt x="1713" y="889"/>
                                <a:pt x="1713" y="889"/>
                                <a:pt x="1713" y="889"/>
                              </a:cubicBezTo>
                              <a:cubicBezTo>
                                <a:pt x="1713" y="889"/>
                                <a:pt x="2206" y="889"/>
                                <a:pt x="2205" y="887"/>
                              </a:cubicBezTo>
                              <a:cubicBezTo>
                                <a:pt x="2988" y="887"/>
                                <a:pt x="2991" y="1237"/>
                                <a:pt x="2959" y="1442"/>
                              </a:cubicBezTo>
                              <a:close/>
                              <a:moveTo>
                                <a:pt x="5698" y="2779"/>
                              </a:moveTo>
                              <a:cubicBezTo>
                                <a:pt x="6420" y="1408"/>
                                <a:pt x="6420" y="1408"/>
                                <a:pt x="6420" y="1408"/>
                              </a:cubicBezTo>
                              <a:cubicBezTo>
                                <a:pt x="6716" y="2779"/>
                                <a:pt x="6716" y="2779"/>
                                <a:pt x="6716" y="2779"/>
                              </a:cubicBezTo>
                              <a:lnTo>
                                <a:pt x="5698" y="2779"/>
                              </a:lnTo>
                              <a:close/>
                              <a:moveTo>
                                <a:pt x="17008" y="4431"/>
                              </a:moveTo>
                              <a:cubicBezTo>
                                <a:pt x="16350" y="4702"/>
                                <a:pt x="15923" y="4344"/>
                                <a:pt x="15643" y="4018"/>
                              </a:cubicBezTo>
                              <a:cubicBezTo>
                                <a:pt x="14855" y="3078"/>
                                <a:pt x="14855" y="3078"/>
                                <a:pt x="14855" y="3078"/>
                              </a:cubicBezTo>
                              <a:cubicBezTo>
                                <a:pt x="14644" y="2826"/>
                                <a:pt x="14385" y="2659"/>
                                <a:pt x="14006" y="2659"/>
                              </a:cubicBezTo>
                              <a:cubicBezTo>
                                <a:pt x="13318" y="2659"/>
                                <a:pt x="13318" y="2659"/>
                                <a:pt x="13318" y="2659"/>
                              </a:cubicBezTo>
                              <a:cubicBezTo>
                                <a:pt x="13398" y="2713"/>
                                <a:pt x="13637" y="2883"/>
                                <a:pt x="13856" y="3160"/>
                              </a:cubicBezTo>
                              <a:cubicBezTo>
                                <a:pt x="14157" y="3519"/>
                                <a:pt x="14157" y="3519"/>
                                <a:pt x="14157" y="3519"/>
                              </a:cubicBezTo>
                              <a:cubicBezTo>
                                <a:pt x="14013" y="3575"/>
                                <a:pt x="13848" y="3608"/>
                                <a:pt x="13681" y="3608"/>
                              </a:cubicBezTo>
                              <a:cubicBezTo>
                                <a:pt x="13083" y="3604"/>
                                <a:pt x="12722" y="3205"/>
                                <a:pt x="12716" y="2486"/>
                              </a:cubicBezTo>
                              <a:cubicBezTo>
                                <a:pt x="12718" y="1614"/>
                                <a:pt x="13292" y="1000"/>
                                <a:pt x="14051" y="999"/>
                              </a:cubicBezTo>
                              <a:cubicBezTo>
                                <a:pt x="14611" y="1000"/>
                                <a:pt x="15019" y="1438"/>
                                <a:pt x="15022" y="2079"/>
                              </a:cubicBezTo>
                              <a:cubicBezTo>
                                <a:pt x="15021" y="2290"/>
                                <a:pt x="14985" y="2506"/>
                                <a:pt x="14927" y="2685"/>
                              </a:cubicBezTo>
                              <a:cubicBezTo>
                                <a:pt x="14927" y="2685"/>
                                <a:pt x="14927" y="2685"/>
                                <a:pt x="14927" y="2685"/>
                              </a:cubicBezTo>
                              <a:cubicBezTo>
                                <a:pt x="15069" y="2767"/>
                                <a:pt x="15189" y="2876"/>
                                <a:pt x="15294" y="3002"/>
                              </a:cubicBezTo>
                              <a:cubicBezTo>
                                <a:pt x="15744" y="3538"/>
                                <a:pt x="15744" y="3538"/>
                                <a:pt x="15744" y="3538"/>
                              </a:cubicBezTo>
                              <a:cubicBezTo>
                                <a:pt x="15744" y="3538"/>
                                <a:pt x="15744" y="3538"/>
                                <a:pt x="15744" y="3538"/>
                              </a:cubicBezTo>
                              <a:cubicBezTo>
                                <a:pt x="16027" y="3128"/>
                                <a:pt x="16192" y="2587"/>
                                <a:pt x="16192" y="2031"/>
                              </a:cubicBezTo>
                              <a:cubicBezTo>
                                <a:pt x="16192" y="1359"/>
                                <a:pt x="15916" y="765"/>
                                <a:pt x="15421" y="395"/>
                              </a:cubicBezTo>
                              <a:cubicBezTo>
                                <a:pt x="15065" y="125"/>
                                <a:pt x="14623" y="0"/>
                                <a:pt x="14110" y="1"/>
                              </a:cubicBezTo>
                              <a:cubicBezTo>
                                <a:pt x="13380" y="0"/>
                                <a:pt x="12699" y="295"/>
                                <a:pt x="12204" y="830"/>
                              </a:cubicBezTo>
                              <a:cubicBezTo>
                                <a:pt x="11772" y="1294"/>
                                <a:pt x="11556" y="1898"/>
                                <a:pt x="11556" y="2586"/>
                              </a:cubicBezTo>
                              <a:cubicBezTo>
                                <a:pt x="11555" y="3430"/>
                                <a:pt x="12013" y="4136"/>
                                <a:pt x="12740" y="4465"/>
                              </a:cubicBezTo>
                              <a:cubicBezTo>
                                <a:pt x="12992" y="4579"/>
                                <a:pt x="13306" y="4607"/>
                                <a:pt x="13574" y="4607"/>
                              </a:cubicBezTo>
                              <a:cubicBezTo>
                                <a:pt x="14288" y="4607"/>
                                <a:pt x="14618" y="4431"/>
                                <a:pt x="14841" y="4327"/>
                              </a:cubicBezTo>
                              <a:cubicBezTo>
                                <a:pt x="15126" y="4618"/>
                                <a:pt x="15498" y="4735"/>
                                <a:pt x="15981" y="4735"/>
                              </a:cubicBezTo>
                              <a:cubicBezTo>
                                <a:pt x="16403" y="4735"/>
                                <a:pt x="16740" y="4646"/>
                                <a:pt x="17008" y="4431"/>
                              </a:cubicBezTo>
                              <a:close/>
                            </a:path>
                          </a:pathLst>
                        </a:custGeom>
                        <a:solidFill>
                          <a:srgbClr val="0034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AD7D46" id="Logo_RACQ_p1" o:spid="_x0000_s1026" style="position:absolute;margin-left:438.4pt;margin-top:7.15pt;width:88.45pt;height:22.4pt;z-index:251660288;mso-width-relative:margin;mso-height-relative:margin" coordsize="284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">
              <v:shape id="bw1" o:spid="_x0000_s1027" style="position:absolute;top:1;width:2825;height:719;visibility:hidden;mso-wrap-style:square;v-text-anchor:top" coordsize="563,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iMIA&#10;AADaAAAADwAAAGRycy9kb3ducmV2LnhtbESPT4vCMBTE7wt+h/AEL4um9aBLNYosXfTon909P5pn&#10;W5q8lCZq/fZGEDwOM/MbZrnurRFX6nztWEE6SUAQF07XXCr4Pf2Mv0D4gKzROCYFd/KwXg0+lphp&#10;d+MDXY+hFBHCPkMFVQhtJqUvKrLoJ64ljt7ZdRZDlF0pdYe3CLdGTpNkJi3WHBcqbOm7oqI5XqyC&#10;vJnv97vPy/nvv8lTI7lstmaj1GjYbxYgAvXhHX61d1rBH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OeIwgAAANoAAAAPAAAAAAAAAAAAAAAAAJgCAABkcnMvZG93&#10;bnJldi54bWxQSwUGAAAAAAQABAD1AAAAhwMAAAAA&#10;" path="m514,134v2,-1,4,-3,5,-5c549,93,549,93,549,93v9,-10,12,-11,14,-13c561,80,553,82,546,90v-28,33,-28,33,-28,33c513,130,509,131,508,131,541,92,541,92,541,92v,-1,1,-2,2,-2c549,82,552,82,555,80v-4,,-12,2,-18,10c510,122,510,122,510,122v-6,7,-9,8,-11,8c532,91,532,91,532,91v,,1,-2,2,-2c540,82,544,81,546,80v-5,,-12,3,-18,9c503,119,503,119,503,119v-5,7,-9,7,-10,8c523,91,523,91,523,91v,,2,-2,2,-2c531,81,535,81,537,80v-6,,-13,3,-17,8c498,114,498,114,498,114v-6,7,-9,8,-10,8c516,88,516,88,516,88v6,-7,11,-7,13,-8c521,80,515,83,511,88v-26,31,-26,31,-26,31c477,109,477,109,477,109,487,95,492,78,492,61v,-20,-9,-38,-24,-49c458,3,444,,429,,406,,386,9,371,25,358,39,351,57,351,78v,26,14,47,36,57c395,139,404,140,412,140v20,,31,-5,37,-8c457,140,468,143,482,143v13,,23,-2,32,-9m402,80v2,2,9,7,16,16c428,107,428,107,428,107v-4,1,-8,2,-12,2c397,109,386,97,386,75v,-26,18,-45,41,-45c444,30,456,43,456,63v,6,-1,14,-3,20c449,81,446,80,441,80v2,1,7,1,13,8c458,93,458,93,458,93v24,29,24,29,24,29c490,131,495,134,505,134v-14,6,-25,-2,-34,-12c448,93,448,93,448,93,441,85,433,80,422,80r-20,xm244,78v,-20,6,-39,20,-53c280,8,300,,322,v21,,38,9,46,17c368,17,360,27,360,27v-5,5,-8,8,-12,8c345,36,341,35,336,33v-3,-2,-10,-3,-16,-3c297,30,279,48,279,76v,26,16,33,29,33c317,109,325,106,329,105v4,-2,8,-3,10,-3c344,103,347,104,350,109v,,8,12,8,12c352,126,337,140,306,140v-6,,-16,,-27,-6c261,126,244,108,244,78m222,2v-41,,-41,,-41,c119,121,119,121,119,121,107,99,107,99,107,99,101,87,98,82,92,79v20,-5,29,-16,33,-34c128,27,118,15,105,8,96,2,79,2,61,2,21,2,21,2,21,2,,138,,138,,138v35,,35,,35,c44,84,44,84,44,84v2,,2,,2,c53,84,65,86,72,99v,,14,27,14,27c92,137,96,138,108,138v,,20,,20,c137,138,146,138,151,126v9,-17,9,-17,9,-17c209,109,209,109,209,109v,,4,17,4,17c215,138,224,138,234,138v17,,17,,17,c222,2,222,2,222,2m90,43c89,50,85,60,61,60v,,-14,,-14,c52,27,52,27,52,27v,,15,,15,c91,27,91,37,90,43xm173,84c195,42,195,42,195,42v9,42,9,42,9,42l173,84xe" fillcolor="black" stroked="f">
                <v:path arrowok="t" o:connecttype="custom" o:connectlocs="2604,649;2825,402;2599,618;2715,463;2785,402;2559,613;2669,458;2740,402;2524,598;2624,458;2695,402;2499,573;2589,442;2564,442;2393,548;2348,60;1862,126;1942,679;2253,664;2579,674;2097,483;2087,548;2143,151;2273,417;2278,442;2419,613;2363,613;2117,402;1224,392;1616,0;1806,136;1686,166;1400,382;1651,528;1756,548;1535,704;1224,392;908,10;537,498;627,226;306,10;0,694;221,422;361,498;542,694;758,634;1049,548;1174,694;1114,10;306,302;261,136;452,216;978,211;868,422" o:connectangles="0,0,0,0,0,0,0,0,0,0,0,0,0,0,0,0,0,0,0,0,0,0,0,0,0,0,0,0,0,0,0,0,0,0,0,0,0,0,0,0,0,0,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1" o:spid="_x0000_s1028" type="#_x0000_t75" alt="Colour Branding Elements-01 900dpi 8bit" style="position:absolute;left:2130;top:401;width:712;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aVFi8AAAA2gAAAA8AAABkcnMvZG93bnJldi54bWxET0sKwjAQ3QveIYzgzqa6qFKNIoogLgQ/&#10;BxibsS02k9pErZ7eLASXj/efLVpTiSc1rrSsYBjFIIgzq0vOFZxPm8EEhPPIGivLpOBNDhbzbmeG&#10;qbYvPtDz6HMRQtilqKDwvk6ldFlBBl1ka+LAXW1j0AfY5FI3+ArhppKjOE6kwZJDQ4E1rQrKbseH&#10;UfCZXNauLrNkl1T31cjSfryPSal+r11OQXhq/V/8c2+1grA1XAk3QM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RGlRYvAAAANoAAAAPAAAAAAAAAAAAAAAAAJ8CAABkcnMv&#10;ZG93bnJldi54bWxQSwUGAAAAAAQABAD3AAAAiAMAAAAA&#10;">
                <v:imagedata r:id="rId3" o:title="Colour Branding Elements-01 900dpi 8bit" chromakey="white"/>
              </v:shape>
              <v:shape id="col2" o:spid="_x0000_s1029" style="position:absolute;width:2588;height:720;visibility:visible;mso-wrap-style:square;v-text-anchor:top" coordsize="17008,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wDsMA&#10;AADbAAAADwAAAGRycy9kb3ducmV2LnhtbERPS2sCMRC+F/ofwhS81awFH2yNUqRiwYPo9mBv0810&#10;s+1msmxSs/57Iwje5uN7znzZ20acqPO1YwWjYQaCuHS65krBZ7F+noHwAVlj45gUnMnDcvH4MMdc&#10;u8h7Oh1CJVII+xwVmBDaXEpfGrLoh64lTtyP6yyGBLtK6g5jCreNfMmyibRYc2ow2NLKUPl3+LcK&#10;shCPx+9NO/7ax9WvN3FavO+2Sg2e+rdXEIH6cBff3B86zR/B9Zd0gF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wDsMAAADbAAAADwAAAAAAAAAAAAAAAACYAgAAZHJzL2Rv&#10;d25yZXYueG1sUEsFBgAAAAAEAAQA9QAAAIgDAAAAAA==&#10;" path="m8040,2588v,-660,195,-1281,647,-1757c9227,263,9880,2,10594,2v713,,1246,290,1518,562c12112,564,11840,903,11840,903v-146,178,-249,248,-382,265c11341,1183,11223,1178,11064,1103v-117,-55,-316,-113,-515,-113c9772,990,9198,1583,9198,2499v,868,504,1115,947,1115c10443,3614,10708,3514,10832,3456v121,-57,262,-88,339,-81c11331,3387,11431,3435,11532,3606v,,250,385,251,386c11587,4158,11087,4609,10057,4609v-168,,-514,10,-884,-168c8604,4167,8040,3560,8040,2588xm7297,61v-1335,,-1335,,-1335,c3897,3982,3897,3982,3897,3982,3516,3267,3516,3267,3516,3267,3306,2865,3205,2696,3029,2628v646,-177,964,-542,1074,-1133c4212,908,3888,516,3462,264,3151,80,2607,67,2000,66,669,66,669,66,669,66,,4547,,4547,,4547v1161,,1161,,1161,c1426,2779,1426,2779,1426,2779v92,,92,,92,c1749,2779,2137,2848,2362,3282v-3,3,463,866,464,868c3015,4518,3160,4547,3553,4547v1,-1,666,-1,666,-1c4511,4546,4791,4547,4966,4173v305,-582,305,-582,305,-582c6891,3591,6891,3591,6891,3591v,,129,580,127,579c7088,4544,7382,4549,7688,4547v576,,576,,576,l7297,61xm2959,1442v-32,202,-180,530,-961,530c1997,1972,1547,1972,1547,1972,1713,889,1713,889,1713,889v,,493,,492,-2c2988,887,2991,1237,2959,1442xm5698,2779c6420,1408,6420,1408,6420,1408v296,1371,296,1371,296,1371l5698,2779xm17008,4431v-658,271,-1085,-87,-1365,-413c14855,3078,14855,3078,14855,3078v-211,-252,-470,-419,-849,-419c13318,2659,13318,2659,13318,2659v80,54,319,224,538,501c14157,3519,14157,3519,14157,3519v-144,56,-309,89,-476,89c13083,3604,12722,3205,12716,2486v2,-872,576,-1486,1335,-1487c14611,1000,15019,1438,15022,2079v-1,211,-37,427,-95,606c14927,2685,14927,2685,14927,2685v142,82,262,191,367,317c15744,3538,15744,3538,15744,3538v,,,,,c16027,3128,16192,2587,16192,2031v,-672,-276,-1266,-771,-1636c15065,125,14623,,14110,1,13380,,12699,295,12204,830v-432,464,-648,1068,-648,1756c11555,3430,12013,4136,12740,4465v252,114,566,142,834,142c14288,4607,14618,4431,14841,4327v285,291,657,408,1140,408c16403,4735,16740,4646,17008,4431xe" fillcolor="#003478" stroked="f">
                <v:path arrowok="t" o:connecttype="custom" o:connectlocs="1322,126;1843,86;1743,178;1605,151;1544,550;1700,513;1793,607;1396,675;1110,9;593,605;461,400;527,40;102,10;177,691;231,423;430,631;642,691;802,546;1068,634;1257,691;450,219;235,300;336,135;867,423;1022,423;2588,674;2260,468;2027,404;2154,535;1935,378;2286,316;2271,408;2396,538;2464,309;2147,0;1758,393;2065,701;2432,720" o:connectangles="0,0,0,0,0,0,0,0,0,0,0,0,0,0,0,0,0,0,0,0,0,0,0,0,0,0,0,0,0,0,0,0,0,0,0,0,0,0"/>
                <o:lock v:ext="edit" aspectratio="t" verticies="t"/>
              </v:shape>
            </v:group>
          </w:pict>
        </mc:Fallback>
      </mc:AlternateContent>
    </w:r>
  </w:p>
  <w:p w14:paraId="1BDFD414" w14:textId="5EB9023B" w:rsidR="00E66BC3" w:rsidRDefault="00E66BC3" w:rsidP="006E5C48">
    <w:pPr>
      <w:pStyle w:val="NormalWeb"/>
      <w:shd w:val="clear" w:color="auto" w:fill="FFFFFF"/>
      <w:jc w:val="both"/>
      <w:textAlignment w:val="baseline"/>
      <w:rPr>
        <w:b/>
        <w:bCs/>
        <w:color w:val="000000"/>
        <w:lang w:eastAsia="en-AU"/>
      </w:rPr>
    </w:pPr>
    <w:r>
      <w:rPr>
        <w:b/>
        <w:bCs/>
        <w:color w:val="000000"/>
        <w:lang w:eastAsia="en-AU"/>
      </w:rPr>
      <w:t>RACQ and Redland City Council Joint Submission:</w:t>
    </w:r>
  </w:p>
  <w:p w14:paraId="74D7C5F3" w14:textId="77777777" w:rsidR="00E66BC3" w:rsidRPr="00403269" w:rsidRDefault="00E66BC3" w:rsidP="00403269">
    <w:pPr>
      <w:pStyle w:val="NormalWeb"/>
      <w:shd w:val="clear" w:color="auto" w:fill="FFFFFF"/>
      <w:jc w:val="both"/>
      <w:textAlignment w:val="baseline"/>
      <w:rPr>
        <w:b/>
        <w:bCs/>
        <w:color w:val="000000"/>
        <w:lang w:eastAsia="en-AU"/>
      </w:rPr>
    </w:pPr>
    <w:r>
      <w:rPr>
        <w:b/>
        <w:bCs/>
        <w:color w:val="000000"/>
        <w:lang w:eastAsia="en-AU"/>
      </w:rPr>
      <w:t xml:space="preserve">NTC </w:t>
    </w:r>
    <w:r w:rsidRPr="006E5C48">
      <w:rPr>
        <w:b/>
        <w:bCs/>
        <w:color w:val="000000"/>
        <w:lang w:eastAsia="en-AU"/>
      </w:rPr>
      <w:t>Review of Guidelines for</w:t>
    </w:r>
    <w:r>
      <w:rPr>
        <w:b/>
        <w:bCs/>
        <w:color w:val="000000"/>
        <w:lang w:eastAsia="en-AU"/>
      </w:rPr>
      <w:t xml:space="preserve"> </w:t>
    </w:r>
    <w:r w:rsidRPr="006E5C48">
      <w:rPr>
        <w:b/>
        <w:bCs/>
        <w:color w:val="000000"/>
        <w:lang w:eastAsia="en-AU"/>
      </w:rPr>
      <w:t>trials of automated vehicles</w:t>
    </w:r>
    <w:r>
      <w:rPr>
        <w:b/>
        <w:bCs/>
        <w:color w:val="000000"/>
        <w:lang w:eastAsia="en-AU"/>
      </w:rPr>
      <w:t xml:space="preserve"> </w:t>
    </w:r>
    <w:r w:rsidRPr="006E5C48">
      <w:rPr>
        <w:b/>
        <w:bCs/>
        <w:color w:val="000000"/>
        <w:lang w:eastAsia="en-AU"/>
      </w:rPr>
      <w:t>in Australia</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B2A872"/>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93A215F"/>
    <w:multiLevelType w:val="hybridMultilevel"/>
    <w:tmpl w:val="1F5C56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9A43CA"/>
    <w:multiLevelType w:val="hybridMultilevel"/>
    <w:tmpl w:val="C552947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CF67D6C"/>
    <w:multiLevelType w:val="hybridMultilevel"/>
    <w:tmpl w:val="EDEC402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6A4B54"/>
    <w:multiLevelType w:val="hybridMultilevel"/>
    <w:tmpl w:val="566495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E256264"/>
    <w:multiLevelType w:val="hybridMultilevel"/>
    <w:tmpl w:val="1618E4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137931"/>
    <w:multiLevelType w:val="hybridMultilevel"/>
    <w:tmpl w:val="505424E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EE8E6254" w:tentative="1">
      <w:start w:val="1"/>
      <w:numFmt w:val="bullet"/>
      <w:lvlText w:val=""/>
      <w:lvlJc w:val="left"/>
      <w:pPr>
        <w:tabs>
          <w:tab w:val="num" w:pos="2160"/>
        </w:tabs>
        <w:ind w:left="2160" w:hanging="360"/>
      </w:pPr>
      <w:rPr>
        <w:rFonts w:ascii="Wingdings 2" w:hAnsi="Wingdings 2" w:hint="default"/>
      </w:rPr>
    </w:lvl>
    <w:lvl w:ilvl="3" w:tplc="9F923CD0" w:tentative="1">
      <w:start w:val="1"/>
      <w:numFmt w:val="bullet"/>
      <w:lvlText w:val=""/>
      <w:lvlJc w:val="left"/>
      <w:pPr>
        <w:tabs>
          <w:tab w:val="num" w:pos="2880"/>
        </w:tabs>
        <w:ind w:left="2880" w:hanging="360"/>
      </w:pPr>
      <w:rPr>
        <w:rFonts w:ascii="Wingdings 2" w:hAnsi="Wingdings 2" w:hint="default"/>
      </w:rPr>
    </w:lvl>
    <w:lvl w:ilvl="4" w:tplc="71BA8CFC" w:tentative="1">
      <w:start w:val="1"/>
      <w:numFmt w:val="bullet"/>
      <w:lvlText w:val=""/>
      <w:lvlJc w:val="left"/>
      <w:pPr>
        <w:tabs>
          <w:tab w:val="num" w:pos="3600"/>
        </w:tabs>
        <w:ind w:left="3600" w:hanging="360"/>
      </w:pPr>
      <w:rPr>
        <w:rFonts w:ascii="Wingdings 2" w:hAnsi="Wingdings 2" w:hint="default"/>
      </w:rPr>
    </w:lvl>
    <w:lvl w:ilvl="5" w:tplc="2A0A30E6" w:tentative="1">
      <w:start w:val="1"/>
      <w:numFmt w:val="bullet"/>
      <w:lvlText w:val=""/>
      <w:lvlJc w:val="left"/>
      <w:pPr>
        <w:tabs>
          <w:tab w:val="num" w:pos="4320"/>
        </w:tabs>
        <w:ind w:left="4320" w:hanging="360"/>
      </w:pPr>
      <w:rPr>
        <w:rFonts w:ascii="Wingdings 2" w:hAnsi="Wingdings 2" w:hint="default"/>
      </w:rPr>
    </w:lvl>
    <w:lvl w:ilvl="6" w:tplc="4DA4ECEA" w:tentative="1">
      <w:start w:val="1"/>
      <w:numFmt w:val="bullet"/>
      <w:lvlText w:val=""/>
      <w:lvlJc w:val="left"/>
      <w:pPr>
        <w:tabs>
          <w:tab w:val="num" w:pos="5040"/>
        </w:tabs>
        <w:ind w:left="5040" w:hanging="360"/>
      </w:pPr>
      <w:rPr>
        <w:rFonts w:ascii="Wingdings 2" w:hAnsi="Wingdings 2" w:hint="default"/>
      </w:rPr>
    </w:lvl>
    <w:lvl w:ilvl="7" w:tplc="90FCC1C0" w:tentative="1">
      <w:start w:val="1"/>
      <w:numFmt w:val="bullet"/>
      <w:lvlText w:val=""/>
      <w:lvlJc w:val="left"/>
      <w:pPr>
        <w:tabs>
          <w:tab w:val="num" w:pos="5760"/>
        </w:tabs>
        <w:ind w:left="5760" w:hanging="360"/>
      </w:pPr>
      <w:rPr>
        <w:rFonts w:ascii="Wingdings 2" w:hAnsi="Wingdings 2" w:hint="default"/>
      </w:rPr>
    </w:lvl>
    <w:lvl w:ilvl="8" w:tplc="59046CE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B5A10D2"/>
    <w:multiLevelType w:val="hybridMultilevel"/>
    <w:tmpl w:val="76204A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21BA4"/>
    <w:multiLevelType w:val="hybridMultilevel"/>
    <w:tmpl w:val="1F66D9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AA4210"/>
    <w:multiLevelType w:val="hybridMultilevel"/>
    <w:tmpl w:val="2360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A3D57"/>
    <w:multiLevelType w:val="hybridMultilevel"/>
    <w:tmpl w:val="F0407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C7ACD"/>
    <w:multiLevelType w:val="hybridMultilevel"/>
    <w:tmpl w:val="C346FE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F13FC2"/>
    <w:multiLevelType w:val="hybridMultilevel"/>
    <w:tmpl w:val="66403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C31EA"/>
    <w:multiLevelType w:val="hybridMultilevel"/>
    <w:tmpl w:val="869A28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9447C0"/>
    <w:multiLevelType w:val="hybridMultilevel"/>
    <w:tmpl w:val="BBCCF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6E23E9"/>
    <w:multiLevelType w:val="hybridMultilevel"/>
    <w:tmpl w:val="88768CF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A16E9"/>
    <w:multiLevelType w:val="hybridMultilevel"/>
    <w:tmpl w:val="3A02D7F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926FA7"/>
    <w:multiLevelType w:val="hybridMultilevel"/>
    <w:tmpl w:val="A37E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5224B"/>
    <w:multiLevelType w:val="hybridMultilevel"/>
    <w:tmpl w:val="8E0E4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EE1037"/>
    <w:multiLevelType w:val="hybridMultilevel"/>
    <w:tmpl w:val="90C8B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A6B9D"/>
    <w:multiLevelType w:val="hybridMultilevel"/>
    <w:tmpl w:val="DBE0A2DC"/>
    <w:lvl w:ilvl="0" w:tplc="3B1C3020">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EA50D0"/>
    <w:multiLevelType w:val="hybridMultilevel"/>
    <w:tmpl w:val="0B00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66439E"/>
    <w:multiLevelType w:val="hybridMultilevel"/>
    <w:tmpl w:val="9BD6E420"/>
    <w:lvl w:ilvl="0" w:tplc="741E22A6">
      <w:start w:val="1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3D7801"/>
    <w:multiLevelType w:val="hybridMultilevel"/>
    <w:tmpl w:val="02E8F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C383782"/>
    <w:multiLevelType w:val="hybridMultilevel"/>
    <w:tmpl w:val="8AD6BFA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60683F"/>
    <w:multiLevelType w:val="hybridMultilevel"/>
    <w:tmpl w:val="22185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DA773E"/>
    <w:multiLevelType w:val="hybridMultilevel"/>
    <w:tmpl w:val="826AC20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A55D51"/>
    <w:multiLevelType w:val="hybridMultilevel"/>
    <w:tmpl w:val="7264C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6D0984"/>
    <w:multiLevelType w:val="hybridMultilevel"/>
    <w:tmpl w:val="D8F84C3A"/>
    <w:lvl w:ilvl="0" w:tplc="DB7E083E">
      <w:start w:val="3"/>
      <w:numFmt w:val="decimal"/>
      <w:lvlText w:val="%1."/>
      <w:lvlJc w:val="left"/>
      <w:pPr>
        <w:ind w:left="360" w:hanging="360"/>
      </w:pPr>
      <w:rPr>
        <w:rFonts w:hint="default"/>
        <w:i w:val="0"/>
        <w:color w:val="4F81BD"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DA1CCC"/>
    <w:multiLevelType w:val="hybridMultilevel"/>
    <w:tmpl w:val="0A3042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2337FEA"/>
    <w:multiLevelType w:val="hybridMultilevel"/>
    <w:tmpl w:val="73CCF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A4C2C"/>
    <w:multiLevelType w:val="hybridMultilevel"/>
    <w:tmpl w:val="12B4D7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D73325"/>
    <w:multiLevelType w:val="hybridMultilevel"/>
    <w:tmpl w:val="7DC2FF7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754969"/>
    <w:multiLevelType w:val="hybridMultilevel"/>
    <w:tmpl w:val="1E66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60A74"/>
    <w:multiLevelType w:val="hybridMultilevel"/>
    <w:tmpl w:val="FECC83F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C77AE"/>
    <w:multiLevelType w:val="hybridMultilevel"/>
    <w:tmpl w:val="35382C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3"/>
  </w:num>
  <w:num w:numId="4">
    <w:abstractNumId w:val="3"/>
  </w:num>
  <w:num w:numId="5">
    <w:abstractNumId w:val="17"/>
  </w:num>
  <w:num w:numId="6">
    <w:abstractNumId w:val="6"/>
  </w:num>
  <w:num w:numId="7">
    <w:abstractNumId w:val="34"/>
  </w:num>
  <w:num w:numId="8">
    <w:abstractNumId w:val="7"/>
  </w:num>
  <w:num w:numId="9">
    <w:abstractNumId w:val="31"/>
  </w:num>
  <w:num w:numId="10">
    <w:abstractNumId w:val="16"/>
  </w:num>
  <w:num w:numId="11">
    <w:abstractNumId w:val="24"/>
  </w:num>
  <w:num w:numId="12">
    <w:abstractNumId w:val="11"/>
  </w:num>
  <w:num w:numId="13">
    <w:abstractNumId w:val="8"/>
  </w:num>
  <w:num w:numId="14">
    <w:abstractNumId w:val="18"/>
  </w:num>
  <w:num w:numId="15">
    <w:abstractNumId w:val="22"/>
  </w:num>
  <w:num w:numId="16">
    <w:abstractNumId w:val="21"/>
  </w:num>
  <w:num w:numId="17">
    <w:abstractNumId w:val="9"/>
  </w:num>
  <w:num w:numId="18">
    <w:abstractNumId w:val="32"/>
  </w:num>
  <w:num w:numId="19">
    <w:abstractNumId w:val="26"/>
  </w:num>
  <w:num w:numId="20">
    <w:abstractNumId w:val="4"/>
  </w:num>
  <w:num w:numId="21">
    <w:abstractNumId w:val="2"/>
  </w:num>
  <w:num w:numId="22">
    <w:abstractNumId w:val="14"/>
  </w:num>
  <w:num w:numId="23">
    <w:abstractNumId w:val="35"/>
  </w:num>
  <w:num w:numId="24">
    <w:abstractNumId w:val="27"/>
  </w:num>
  <w:num w:numId="25">
    <w:abstractNumId w:val="12"/>
  </w:num>
  <w:num w:numId="26">
    <w:abstractNumId w:val="10"/>
  </w:num>
  <w:num w:numId="27">
    <w:abstractNumId w:val="28"/>
  </w:num>
  <w:num w:numId="28">
    <w:abstractNumId w:val="25"/>
  </w:num>
  <w:num w:numId="29">
    <w:abstractNumId w:val="33"/>
  </w:num>
  <w:num w:numId="30">
    <w:abstractNumId w:val="29"/>
  </w:num>
  <w:num w:numId="31">
    <w:abstractNumId w:val="5"/>
  </w:num>
  <w:num w:numId="32">
    <w:abstractNumId w:val="20"/>
  </w:num>
  <w:num w:numId="33">
    <w:abstractNumId w:val="19"/>
  </w:num>
  <w:num w:numId="34">
    <w:abstractNumId w:val="15"/>
  </w:num>
  <w:num w:numId="35">
    <w:abstractNumId w:val="30"/>
  </w:num>
  <w:num w:numId="3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A6"/>
    <w:rsid w:val="00001098"/>
    <w:rsid w:val="000019C4"/>
    <w:rsid w:val="00001C33"/>
    <w:rsid w:val="00004E92"/>
    <w:rsid w:val="00010C55"/>
    <w:rsid w:val="00011AA2"/>
    <w:rsid w:val="00014126"/>
    <w:rsid w:val="000144F5"/>
    <w:rsid w:val="00014517"/>
    <w:rsid w:val="00014D6B"/>
    <w:rsid w:val="00015557"/>
    <w:rsid w:val="000179A8"/>
    <w:rsid w:val="00017DFF"/>
    <w:rsid w:val="00020C91"/>
    <w:rsid w:val="00020DA8"/>
    <w:rsid w:val="000224FD"/>
    <w:rsid w:val="00022C67"/>
    <w:rsid w:val="00024E36"/>
    <w:rsid w:val="00025630"/>
    <w:rsid w:val="00026A74"/>
    <w:rsid w:val="0003073D"/>
    <w:rsid w:val="00030789"/>
    <w:rsid w:val="00030939"/>
    <w:rsid w:val="00031C40"/>
    <w:rsid w:val="00033304"/>
    <w:rsid w:val="00033442"/>
    <w:rsid w:val="0003417A"/>
    <w:rsid w:val="00034221"/>
    <w:rsid w:val="00034DD5"/>
    <w:rsid w:val="000355CA"/>
    <w:rsid w:val="00036909"/>
    <w:rsid w:val="00040290"/>
    <w:rsid w:val="000402EC"/>
    <w:rsid w:val="00041359"/>
    <w:rsid w:val="0004674F"/>
    <w:rsid w:val="00047424"/>
    <w:rsid w:val="000511F7"/>
    <w:rsid w:val="00052B07"/>
    <w:rsid w:val="000532CD"/>
    <w:rsid w:val="00053FFC"/>
    <w:rsid w:val="00054203"/>
    <w:rsid w:val="00056568"/>
    <w:rsid w:val="00056924"/>
    <w:rsid w:val="00060558"/>
    <w:rsid w:val="000627F2"/>
    <w:rsid w:val="00062B2D"/>
    <w:rsid w:val="00064015"/>
    <w:rsid w:val="00064D01"/>
    <w:rsid w:val="00067389"/>
    <w:rsid w:val="0007308C"/>
    <w:rsid w:val="000736CA"/>
    <w:rsid w:val="000736DC"/>
    <w:rsid w:val="00073D43"/>
    <w:rsid w:val="0007641F"/>
    <w:rsid w:val="00081D28"/>
    <w:rsid w:val="00083075"/>
    <w:rsid w:val="000853AE"/>
    <w:rsid w:val="00085F83"/>
    <w:rsid w:val="00085FB4"/>
    <w:rsid w:val="000861BD"/>
    <w:rsid w:val="000868ED"/>
    <w:rsid w:val="00090A05"/>
    <w:rsid w:val="00090EAD"/>
    <w:rsid w:val="00091B67"/>
    <w:rsid w:val="00092685"/>
    <w:rsid w:val="00092C8C"/>
    <w:rsid w:val="000938A5"/>
    <w:rsid w:val="00093AE1"/>
    <w:rsid w:val="00093B86"/>
    <w:rsid w:val="00093E2D"/>
    <w:rsid w:val="00094C3E"/>
    <w:rsid w:val="00095AB2"/>
    <w:rsid w:val="00096193"/>
    <w:rsid w:val="000965FC"/>
    <w:rsid w:val="00096B8C"/>
    <w:rsid w:val="000A1774"/>
    <w:rsid w:val="000A1BCC"/>
    <w:rsid w:val="000A3294"/>
    <w:rsid w:val="000A39CC"/>
    <w:rsid w:val="000A3E96"/>
    <w:rsid w:val="000A6A1E"/>
    <w:rsid w:val="000A6DD6"/>
    <w:rsid w:val="000A7DE6"/>
    <w:rsid w:val="000B1E7A"/>
    <w:rsid w:val="000B251F"/>
    <w:rsid w:val="000C212F"/>
    <w:rsid w:val="000C241F"/>
    <w:rsid w:val="000C246C"/>
    <w:rsid w:val="000C2C5D"/>
    <w:rsid w:val="000C3E46"/>
    <w:rsid w:val="000C5402"/>
    <w:rsid w:val="000C7C18"/>
    <w:rsid w:val="000C7CE7"/>
    <w:rsid w:val="000D036D"/>
    <w:rsid w:val="000D0ACB"/>
    <w:rsid w:val="000D114A"/>
    <w:rsid w:val="000D229F"/>
    <w:rsid w:val="000D3138"/>
    <w:rsid w:val="000D3254"/>
    <w:rsid w:val="000D4163"/>
    <w:rsid w:val="000D42CF"/>
    <w:rsid w:val="000D4460"/>
    <w:rsid w:val="000D50AC"/>
    <w:rsid w:val="000E1FD7"/>
    <w:rsid w:val="000E257C"/>
    <w:rsid w:val="000E3D99"/>
    <w:rsid w:val="000E4F22"/>
    <w:rsid w:val="000E54C9"/>
    <w:rsid w:val="000E5588"/>
    <w:rsid w:val="000E5BB7"/>
    <w:rsid w:val="000E6FFD"/>
    <w:rsid w:val="000E73FE"/>
    <w:rsid w:val="000E7D8A"/>
    <w:rsid w:val="000F0FD1"/>
    <w:rsid w:val="000F2193"/>
    <w:rsid w:val="000F2A29"/>
    <w:rsid w:val="000F3EE9"/>
    <w:rsid w:val="000F61A4"/>
    <w:rsid w:val="000F6B95"/>
    <w:rsid w:val="000F6CD7"/>
    <w:rsid w:val="001000A1"/>
    <w:rsid w:val="001005EE"/>
    <w:rsid w:val="001012CC"/>
    <w:rsid w:val="00101415"/>
    <w:rsid w:val="001056AB"/>
    <w:rsid w:val="00105CFB"/>
    <w:rsid w:val="00106D0B"/>
    <w:rsid w:val="00107A9C"/>
    <w:rsid w:val="001114B9"/>
    <w:rsid w:val="00111F6C"/>
    <w:rsid w:val="00116ED0"/>
    <w:rsid w:val="00117DE4"/>
    <w:rsid w:val="00122399"/>
    <w:rsid w:val="00122499"/>
    <w:rsid w:val="00122B0B"/>
    <w:rsid w:val="00124B33"/>
    <w:rsid w:val="00125221"/>
    <w:rsid w:val="00127BF9"/>
    <w:rsid w:val="00127D55"/>
    <w:rsid w:val="00130D13"/>
    <w:rsid w:val="00130FC4"/>
    <w:rsid w:val="0013524D"/>
    <w:rsid w:val="00137314"/>
    <w:rsid w:val="00140A8C"/>
    <w:rsid w:val="0014177C"/>
    <w:rsid w:val="001426DC"/>
    <w:rsid w:val="0014548F"/>
    <w:rsid w:val="0015103B"/>
    <w:rsid w:val="001519E9"/>
    <w:rsid w:val="0015516E"/>
    <w:rsid w:val="001562AE"/>
    <w:rsid w:val="00156879"/>
    <w:rsid w:val="00161242"/>
    <w:rsid w:val="00163477"/>
    <w:rsid w:val="00163826"/>
    <w:rsid w:val="00166164"/>
    <w:rsid w:val="00166CED"/>
    <w:rsid w:val="001674BD"/>
    <w:rsid w:val="00167682"/>
    <w:rsid w:val="0016787B"/>
    <w:rsid w:val="00170252"/>
    <w:rsid w:val="00170AAD"/>
    <w:rsid w:val="00172325"/>
    <w:rsid w:val="00172B55"/>
    <w:rsid w:val="00173648"/>
    <w:rsid w:val="001736A3"/>
    <w:rsid w:val="00173FC7"/>
    <w:rsid w:val="0017428F"/>
    <w:rsid w:val="00180FCB"/>
    <w:rsid w:val="00181007"/>
    <w:rsid w:val="0018257C"/>
    <w:rsid w:val="001830A6"/>
    <w:rsid w:val="0018311F"/>
    <w:rsid w:val="0018551C"/>
    <w:rsid w:val="00186E0A"/>
    <w:rsid w:val="00187894"/>
    <w:rsid w:val="00187989"/>
    <w:rsid w:val="00191779"/>
    <w:rsid w:val="0019349B"/>
    <w:rsid w:val="001937B0"/>
    <w:rsid w:val="00193A21"/>
    <w:rsid w:val="00193D44"/>
    <w:rsid w:val="00196259"/>
    <w:rsid w:val="001966F3"/>
    <w:rsid w:val="00197514"/>
    <w:rsid w:val="00197B6E"/>
    <w:rsid w:val="00197BC1"/>
    <w:rsid w:val="001A0424"/>
    <w:rsid w:val="001A0607"/>
    <w:rsid w:val="001A1DCD"/>
    <w:rsid w:val="001A1E01"/>
    <w:rsid w:val="001A20E4"/>
    <w:rsid w:val="001A4FBC"/>
    <w:rsid w:val="001A59B6"/>
    <w:rsid w:val="001A625E"/>
    <w:rsid w:val="001A6E27"/>
    <w:rsid w:val="001A7D83"/>
    <w:rsid w:val="001B0CF3"/>
    <w:rsid w:val="001B164E"/>
    <w:rsid w:val="001B2097"/>
    <w:rsid w:val="001B39CE"/>
    <w:rsid w:val="001B3E3E"/>
    <w:rsid w:val="001B66F1"/>
    <w:rsid w:val="001B690C"/>
    <w:rsid w:val="001B6DDA"/>
    <w:rsid w:val="001B6F44"/>
    <w:rsid w:val="001B77EA"/>
    <w:rsid w:val="001C0B87"/>
    <w:rsid w:val="001C42B3"/>
    <w:rsid w:val="001C509A"/>
    <w:rsid w:val="001C76B4"/>
    <w:rsid w:val="001C7C8A"/>
    <w:rsid w:val="001D0708"/>
    <w:rsid w:val="001D1256"/>
    <w:rsid w:val="001D40E3"/>
    <w:rsid w:val="001D46D3"/>
    <w:rsid w:val="001D59BE"/>
    <w:rsid w:val="001D65B4"/>
    <w:rsid w:val="001E078C"/>
    <w:rsid w:val="001E0D61"/>
    <w:rsid w:val="001E11E5"/>
    <w:rsid w:val="001E154F"/>
    <w:rsid w:val="001E1BC8"/>
    <w:rsid w:val="001E218C"/>
    <w:rsid w:val="001E235C"/>
    <w:rsid w:val="001E4289"/>
    <w:rsid w:val="001E5856"/>
    <w:rsid w:val="001E5928"/>
    <w:rsid w:val="001E776A"/>
    <w:rsid w:val="001E7B6F"/>
    <w:rsid w:val="001F4875"/>
    <w:rsid w:val="001F49BC"/>
    <w:rsid w:val="001F6ABD"/>
    <w:rsid w:val="001F7709"/>
    <w:rsid w:val="0020020A"/>
    <w:rsid w:val="00203678"/>
    <w:rsid w:val="00207147"/>
    <w:rsid w:val="00207A0D"/>
    <w:rsid w:val="002100A8"/>
    <w:rsid w:val="00210BE5"/>
    <w:rsid w:val="002117D8"/>
    <w:rsid w:val="00212CE3"/>
    <w:rsid w:val="00214BF4"/>
    <w:rsid w:val="00214E56"/>
    <w:rsid w:val="00214E5C"/>
    <w:rsid w:val="002151F2"/>
    <w:rsid w:val="00220BE1"/>
    <w:rsid w:val="002244E0"/>
    <w:rsid w:val="00224771"/>
    <w:rsid w:val="00226122"/>
    <w:rsid w:val="002307AF"/>
    <w:rsid w:val="0023088D"/>
    <w:rsid w:val="002320DC"/>
    <w:rsid w:val="00233CFB"/>
    <w:rsid w:val="00234666"/>
    <w:rsid w:val="0023546C"/>
    <w:rsid w:val="00236F01"/>
    <w:rsid w:val="002371D4"/>
    <w:rsid w:val="0023745C"/>
    <w:rsid w:val="00240CBB"/>
    <w:rsid w:val="0024182A"/>
    <w:rsid w:val="0024314C"/>
    <w:rsid w:val="00244C6A"/>
    <w:rsid w:val="00245520"/>
    <w:rsid w:val="002462B5"/>
    <w:rsid w:val="00246E15"/>
    <w:rsid w:val="00247DF0"/>
    <w:rsid w:val="00251B1C"/>
    <w:rsid w:val="00251D57"/>
    <w:rsid w:val="00254705"/>
    <w:rsid w:val="00255568"/>
    <w:rsid w:val="0025682D"/>
    <w:rsid w:val="002570A1"/>
    <w:rsid w:val="00260872"/>
    <w:rsid w:val="00261B9D"/>
    <w:rsid w:val="0026297E"/>
    <w:rsid w:val="002635B3"/>
    <w:rsid w:val="00264D7C"/>
    <w:rsid w:val="002655BC"/>
    <w:rsid w:val="0026590D"/>
    <w:rsid w:val="00266F6D"/>
    <w:rsid w:val="00270126"/>
    <w:rsid w:val="00271DF6"/>
    <w:rsid w:val="002740B8"/>
    <w:rsid w:val="00274585"/>
    <w:rsid w:val="00274AC9"/>
    <w:rsid w:val="002758E4"/>
    <w:rsid w:val="00276100"/>
    <w:rsid w:val="00277058"/>
    <w:rsid w:val="00280DBE"/>
    <w:rsid w:val="0028195C"/>
    <w:rsid w:val="002830F1"/>
    <w:rsid w:val="0028417A"/>
    <w:rsid w:val="002856E0"/>
    <w:rsid w:val="00285952"/>
    <w:rsid w:val="00286034"/>
    <w:rsid w:val="002868C2"/>
    <w:rsid w:val="00286CC6"/>
    <w:rsid w:val="00287A38"/>
    <w:rsid w:val="00290261"/>
    <w:rsid w:val="00290712"/>
    <w:rsid w:val="00290F6C"/>
    <w:rsid w:val="00292EE5"/>
    <w:rsid w:val="0029437B"/>
    <w:rsid w:val="00294A02"/>
    <w:rsid w:val="00295D95"/>
    <w:rsid w:val="00296257"/>
    <w:rsid w:val="002978A8"/>
    <w:rsid w:val="002A003F"/>
    <w:rsid w:val="002A1ABB"/>
    <w:rsid w:val="002A332B"/>
    <w:rsid w:val="002A39D1"/>
    <w:rsid w:val="002A5233"/>
    <w:rsid w:val="002A5BCB"/>
    <w:rsid w:val="002A7EDB"/>
    <w:rsid w:val="002B03A5"/>
    <w:rsid w:val="002B12C1"/>
    <w:rsid w:val="002B146B"/>
    <w:rsid w:val="002B175D"/>
    <w:rsid w:val="002B3860"/>
    <w:rsid w:val="002B3D8F"/>
    <w:rsid w:val="002B4896"/>
    <w:rsid w:val="002B5056"/>
    <w:rsid w:val="002C1526"/>
    <w:rsid w:val="002C3372"/>
    <w:rsid w:val="002C3406"/>
    <w:rsid w:val="002C5E5E"/>
    <w:rsid w:val="002C661E"/>
    <w:rsid w:val="002D22F3"/>
    <w:rsid w:val="002D2894"/>
    <w:rsid w:val="002D50B2"/>
    <w:rsid w:val="002D6454"/>
    <w:rsid w:val="002D6C5B"/>
    <w:rsid w:val="002D7A16"/>
    <w:rsid w:val="002D7BE4"/>
    <w:rsid w:val="002E0DB2"/>
    <w:rsid w:val="002E3395"/>
    <w:rsid w:val="002E3C98"/>
    <w:rsid w:val="002E4410"/>
    <w:rsid w:val="002E4DB6"/>
    <w:rsid w:val="002E5B15"/>
    <w:rsid w:val="002F21A4"/>
    <w:rsid w:val="002F44BD"/>
    <w:rsid w:val="002F48D0"/>
    <w:rsid w:val="002F4A6D"/>
    <w:rsid w:val="002F4BC7"/>
    <w:rsid w:val="002F5E74"/>
    <w:rsid w:val="002F6DEE"/>
    <w:rsid w:val="002F764E"/>
    <w:rsid w:val="002F7A17"/>
    <w:rsid w:val="00300497"/>
    <w:rsid w:val="0030188F"/>
    <w:rsid w:val="00301942"/>
    <w:rsid w:val="00304546"/>
    <w:rsid w:val="00307326"/>
    <w:rsid w:val="003113C3"/>
    <w:rsid w:val="003114BD"/>
    <w:rsid w:val="003122B9"/>
    <w:rsid w:val="00312DD9"/>
    <w:rsid w:val="00313222"/>
    <w:rsid w:val="00313A88"/>
    <w:rsid w:val="00314D94"/>
    <w:rsid w:val="00317B89"/>
    <w:rsid w:val="00317F42"/>
    <w:rsid w:val="00320083"/>
    <w:rsid w:val="00320145"/>
    <w:rsid w:val="00320AE2"/>
    <w:rsid w:val="00321B82"/>
    <w:rsid w:val="003231F8"/>
    <w:rsid w:val="00323A4E"/>
    <w:rsid w:val="0032414D"/>
    <w:rsid w:val="003275D1"/>
    <w:rsid w:val="00327D3A"/>
    <w:rsid w:val="00331824"/>
    <w:rsid w:val="003333E4"/>
    <w:rsid w:val="003366EA"/>
    <w:rsid w:val="003372D6"/>
    <w:rsid w:val="003403D8"/>
    <w:rsid w:val="00340ECA"/>
    <w:rsid w:val="00341DF7"/>
    <w:rsid w:val="00341E47"/>
    <w:rsid w:val="003427CF"/>
    <w:rsid w:val="00342F91"/>
    <w:rsid w:val="00343843"/>
    <w:rsid w:val="0034442C"/>
    <w:rsid w:val="003456D4"/>
    <w:rsid w:val="00347CC0"/>
    <w:rsid w:val="00350CD9"/>
    <w:rsid w:val="003520FA"/>
    <w:rsid w:val="003521D0"/>
    <w:rsid w:val="00352CDD"/>
    <w:rsid w:val="0035580C"/>
    <w:rsid w:val="0035767F"/>
    <w:rsid w:val="0036097B"/>
    <w:rsid w:val="00361642"/>
    <w:rsid w:val="00361706"/>
    <w:rsid w:val="00363DB9"/>
    <w:rsid w:val="003653EC"/>
    <w:rsid w:val="00365DAE"/>
    <w:rsid w:val="00366501"/>
    <w:rsid w:val="00367ADA"/>
    <w:rsid w:val="00367C4B"/>
    <w:rsid w:val="003705E4"/>
    <w:rsid w:val="003709FF"/>
    <w:rsid w:val="00371F23"/>
    <w:rsid w:val="00372338"/>
    <w:rsid w:val="0037439D"/>
    <w:rsid w:val="003744E8"/>
    <w:rsid w:val="003750BB"/>
    <w:rsid w:val="00376386"/>
    <w:rsid w:val="0037753D"/>
    <w:rsid w:val="00386716"/>
    <w:rsid w:val="00386AEA"/>
    <w:rsid w:val="00386D5D"/>
    <w:rsid w:val="00390030"/>
    <w:rsid w:val="00392719"/>
    <w:rsid w:val="00392E19"/>
    <w:rsid w:val="003954B5"/>
    <w:rsid w:val="00395729"/>
    <w:rsid w:val="00395F9E"/>
    <w:rsid w:val="00396964"/>
    <w:rsid w:val="00396CCB"/>
    <w:rsid w:val="003A0455"/>
    <w:rsid w:val="003A0463"/>
    <w:rsid w:val="003A2B74"/>
    <w:rsid w:val="003A550F"/>
    <w:rsid w:val="003A5F50"/>
    <w:rsid w:val="003A70A8"/>
    <w:rsid w:val="003A7933"/>
    <w:rsid w:val="003B1673"/>
    <w:rsid w:val="003B16D3"/>
    <w:rsid w:val="003B1E04"/>
    <w:rsid w:val="003B289F"/>
    <w:rsid w:val="003B3B89"/>
    <w:rsid w:val="003B476F"/>
    <w:rsid w:val="003B518B"/>
    <w:rsid w:val="003B73AC"/>
    <w:rsid w:val="003C0F7B"/>
    <w:rsid w:val="003C1CB2"/>
    <w:rsid w:val="003C2177"/>
    <w:rsid w:val="003C2609"/>
    <w:rsid w:val="003C35E1"/>
    <w:rsid w:val="003C38AB"/>
    <w:rsid w:val="003C3D4E"/>
    <w:rsid w:val="003C41E4"/>
    <w:rsid w:val="003C455E"/>
    <w:rsid w:val="003C52B3"/>
    <w:rsid w:val="003C6182"/>
    <w:rsid w:val="003C656E"/>
    <w:rsid w:val="003C72FB"/>
    <w:rsid w:val="003D2B08"/>
    <w:rsid w:val="003D42D3"/>
    <w:rsid w:val="003D59B2"/>
    <w:rsid w:val="003D5DCC"/>
    <w:rsid w:val="003D6D22"/>
    <w:rsid w:val="003D6D26"/>
    <w:rsid w:val="003D6F6D"/>
    <w:rsid w:val="003D774A"/>
    <w:rsid w:val="003E08E2"/>
    <w:rsid w:val="003E0BDE"/>
    <w:rsid w:val="003E1459"/>
    <w:rsid w:val="003E2FBB"/>
    <w:rsid w:val="003E4956"/>
    <w:rsid w:val="003E4B80"/>
    <w:rsid w:val="003E5484"/>
    <w:rsid w:val="003E63D1"/>
    <w:rsid w:val="003E75D1"/>
    <w:rsid w:val="003F1156"/>
    <w:rsid w:val="003F21F2"/>
    <w:rsid w:val="003F3B9F"/>
    <w:rsid w:val="003F3FEB"/>
    <w:rsid w:val="003F423C"/>
    <w:rsid w:val="003F4C27"/>
    <w:rsid w:val="003F4C7F"/>
    <w:rsid w:val="003F4E75"/>
    <w:rsid w:val="003F54CC"/>
    <w:rsid w:val="003F59E9"/>
    <w:rsid w:val="00400D46"/>
    <w:rsid w:val="00401A29"/>
    <w:rsid w:val="00401F55"/>
    <w:rsid w:val="00403269"/>
    <w:rsid w:val="00405DA4"/>
    <w:rsid w:val="00406984"/>
    <w:rsid w:val="00407F54"/>
    <w:rsid w:val="00411E51"/>
    <w:rsid w:val="004123C1"/>
    <w:rsid w:val="00412D66"/>
    <w:rsid w:val="00414B2E"/>
    <w:rsid w:val="00417813"/>
    <w:rsid w:val="004178FF"/>
    <w:rsid w:val="00417C1E"/>
    <w:rsid w:val="00417E78"/>
    <w:rsid w:val="00422C3E"/>
    <w:rsid w:val="00424BA0"/>
    <w:rsid w:val="00426271"/>
    <w:rsid w:val="004301C2"/>
    <w:rsid w:val="0043021C"/>
    <w:rsid w:val="004307D7"/>
    <w:rsid w:val="004313BE"/>
    <w:rsid w:val="00433064"/>
    <w:rsid w:val="004348DF"/>
    <w:rsid w:val="00435CEC"/>
    <w:rsid w:val="00436AFF"/>
    <w:rsid w:val="004421C3"/>
    <w:rsid w:val="00442AFB"/>
    <w:rsid w:val="00444569"/>
    <w:rsid w:val="00445138"/>
    <w:rsid w:val="00445AB2"/>
    <w:rsid w:val="00445CF0"/>
    <w:rsid w:val="004474B2"/>
    <w:rsid w:val="0044770F"/>
    <w:rsid w:val="00447BCA"/>
    <w:rsid w:val="0045320C"/>
    <w:rsid w:val="004540AA"/>
    <w:rsid w:val="004562BB"/>
    <w:rsid w:val="00461CE9"/>
    <w:rsid w:val="00462E7B"/>
    <w:rsid w:val="0046712F"/>
    <w:rsid w:val="004671ED"/>
    <w:rsid w:val="00467B5A"/>
    <w:rsid w:val="00467E8D"/>
    <w:rsid w:val="00471374"/>
    <w:rsid w:val="004715FA"/>
    <w:rsid w:val="00472876"/>
    <w:rsid w:val="004736C9"/>
    <w:rsid w:val="00473BEB"/>
    <w:rsid w:val="00476331"/>
    <w:rsid w:val="0047670D"/>
    <w:rsid w:val="00476DC3"/>
    <w:rsid w:val="004770D4"/>
    <w:rsid w:val="00477234"/>
    <w:rsid w:val="004802E2"/>
    <w:rsid w:val="00480556"/>
    <w:rsid w:val="00481401"/>
    <w:rsid w:val="00482229"/>
    <w:rsid w:val="0048299F"/>
    <w:rsid w:val="004836EF"/>
    <w:rsid w:val="00484437"/>
    <w:rsid w:val="00484E5B"/>
    <w:rsid w:val="00486420"/>
    <w:rsid w:val="004879BA"/>
    <w:rsid w:val="00491C8E"/>
    <w:rsid w:val="00492055"/>
    <w:rsid w:val="00492183"/>
    <w:rsid w:val="00492A90"/>
    <w:rsid w:val="0049411F"/>
    <w:rsid w:val="00494D9D"/>
    <w:rsid w:val="004A0E80"/>
    <w:rsid w:val="004A2144"/>
    <w:rsid w:val="004A25AA"/>
    <w:rsid w:val="004A276D"/>
    <w:rsid w:val="004A2AED"/>
    <w:rsid w:val="004A6EE0"/>
    <w:rsid w:val="004B0112"/>
    <w:rsid w:val="004B0F66"/>
    <w:rsid w:val="004B13E3"/>
    <w:rsid w:val="004B14BD"/>
    <w:rsid w:val="004B6A04"/>
    <w:rsid w:val="004B6D4C"/>
    <w:rsid w:val="004C19A9"/>
    <w:rsid w:val="004C2056"/>
    <w:rsid w:val="004C281A"/>
    <w:rsid w:val="004C3D49"/>
    <w:rsid w:val="004C4EDD"/>
    <w:rsid w:val="004C71A9"/>
    <w:rsid w:val="004D1004"/>
    <w:rsid w:val="004D1F2F"/>
    <w:rsid w:val="004D22C0"/>
    <w:rsid w:val="004D288B"/>
    <w:rsid w:val="004D35E6"/>
    <w:rsid w:val="004D4939"/>
    <w:rsid w:val="004D5238"/>
    <w:rsid w:val="004D5974"/>
    <w:rsid w:val="004D6F26"/>
    <w:rsid w:val="004E4A2F"/>
    <w:rsid w:val="004E5783"/>
    <w:rsid w:val="004E6BBB"/>
    <w:rsid w:val="004F1051"/>
    <w:rsid w:val="004F129A"/>
    <w:rsid w:val="004F1EEE"/>
    <w:rsid w:val="004F21D4"/>
    <w:rsid w:val="004F3148"/>
    <w:rsid w:val="004F35AC"/>
    <w:rsid w:val="004F7E78"/>
    <w:rsid w:val="0050127C"/>
    <w:rsid w:val="00501EDC"/>
    <w:rsid w:val="00502E0F"/>
    <w:rsid w:val="00504049"/>
    <w:rsid w:val="00504CBD"/>
    <w:rsid w:val="00506CE9"/>
    <w:rsid w:val="00506EC2"/>
    <w:rsid w:val="00507DDF"/>
    <w:rsid w:val="00507ED9"/>
    <w:rsid w:val="00510775"/>
    <w:rsid w:val="005111B1"/>
    <w:rsid w:val="005117CD"/>
    <w:rsid w:val="00514FED"/>
    <w:rsid w:val="00517FB9"/>
    <w:rsid w:val="005208B2"/>
    <w:rsid w:val="00521968"/>
    <w:rsid w:val="00521D11"/>
    <w:rsid w:val="005225F5"/>
    <w:rsid w:val="00524F54"/>
    <w:rsid w:val="0052520D"/>
    <w:rsid w:val="00525CAA"/>
    <w:rsid w:val="005276AF"/>
    <w:rsid w:val="00530F48"/>
    <w:rsid w:val="00531B28"/>
    <w:rsid w:val="00531CBA"/>
    <w:rsid w:val="00531EB0"/>
    <w:rsid w:val="005326A5"/>
    <w:rsid w:val="00532C96"/>
    <w:rsid w:val="00533F17"/>
    <w:rsid w:val="005349BB"/>
    <w:rsid w:val="00535150"/>
    <w:rsid w:val="005356A6"/>
    <w:rsid w:val="00535A10"/>
    <w:rsid w:val="00535CDF"/>
    <w:rsid w:val="00537289"/>
    <w:rsid w:val="00540C87"/>
    <w:rsid w:val="00540DF6"/>
    <w:rsid w:val="00540EEF"/>
    <w:rsid w:val="00541E5D"/>
    <w:rsid w:val="00543B7F"/>
    <w:rsid w:val="00543B9E"/>
    <w:rsid w:val="00544E74"/>
    <w:rsid w:val="00545148"/>
    <w:rsid w:val="0054519C"/>
    <w:rsid w:val="0054584C"/>
    <w:rsid w:val="00546340"/>
    <w:rsid w:val="005465F2"/>
    <w:rsid w:val="0055391D"/>
    <w:rsid w:val="00555437"/>
    <w:rsid w:val="00555CFB"/>
    <w:rsid w:val="00557C9E"/>
    <w:rsid w:val="00557FF0"/>
    <w:rsid w:val="0056009C"/>
    <w:rsid w:val="0056086F"/>
    <w:rsid w:val="005619F6"/>
    <w:rsid w:val="00561DBC"/>
    <w:rsid w:val="00561FDB"/>
    <w:rsid w:val="0056214C"/>
    <w:rsid w:val="00563585"/>
    <w:rsid w:val="00565B5B"/>
    <w:rsid w:val="00565BA2"/>
    <w:rsid w:val="00565C0D"/>
    <w:rsid w:val="00566971"/>
    <w:rsid w:val="00570CD2"/>
    <w:rsid w:val="0057121D"/>
    <w:rsid w:val="0057181C"/>
    <w:rsid w:val="00571827"/>
    <w:rsid w:val="00571DC1"/>
    <w:rsid w:val="00572281"/>
    <w:rsid w:val="00572358"/>
    <w:rsid w:val="00572652"/>
    <w:rsid w:val="005728AF"/>
    <w:rsid w:val="005741AF"/>
    <w:rsid w:val="00574242"/>
    <w:rsid w:val="00575732"/>
    <w:rsid w:val="00577D7B"/>
    <w:rsid w:val="005804D1"/>
    <w:rsid w:val="00580AAE"/>
    <w:rsid w:val="0058147E"/>
    <w:rsid w:val="0058150D"/>
    <w:rsid w:val="00582087"/>
    <w:rsid w:val="005834F1"/>
    <w:rsid w:val="00583D43"/>
    <w:rsid w:val="005849E8"/>
    <w:rsid w:val="00584B19"/>
    <w:rsid w:val="00584C25"/>
    <w:rsid w:val="00584D0F"/>
    <w:rsid w:val="0058551E"/>
    <w:rsid w:val="0058598F"/>
    <w:rsid w:val="0058641A"/>
    <w:rsid w:val="00587BE8"/>
    <w:rsid w:val="00590001"/>
    <w:rsid w:val="00590575"/>
    <w:rsid w:val="0059174C"/>
    <w:rsid w:val="00592EE3"/>
    <w:rsid w:val="00593013"/>
    <w:rsid w:val="005941BC"/>
    <w:rsid w:val="005946C5"/>
    <w:rsid w:val="00594DD4"/>
    <w:rsid w:val="00595BFF"/>
    <w:rsid w:val="00595C72"/>
    <w:rsid w:val="005A1A42"/>
    <w:rsid w:val="005A2411"/>
    <w:rsid w:val="005A29CD"/>
    <w:rsid w:val="005A2D3F"/>
    <w:rsid w:val="005A378C"/>
    <w:rsid w:val="005A4510"/>
    <w:rsid w:val="005A4778"/>
    <w:rsid w:val="005A5822"/>
    <w:rsid w:val="005A5B96"/>
    <w:rsid w:val="005A65EB"/>
    <w:rsid w:val="005A6935"/>
    <w:rsid w:val="005B2304"/>
    <w:rsid w:val="005B62B4"/>
    <w:rsid w:val="005B67B6"/>
    <w:rsid w:val="005B7E05"/>
    <w:rsid w:val="005B7FAF"/>
    <w:rsid w:val="005C07ED"/>
    <w:rsid w:val="005C0F0F"/>
    <w:rsid w:val="005C2819"/>
    <w:rsid w:val="005C2F92"/>
    <w:rsid w:val="005C3336"/>
    <w:rsid w:val="005C4F2E"/>
    <w:rsid w:val="005C541C"/>
    <w:rsid w:val="005C5E54"/>
    <w:rsid w:val="005C6EA7"/>
    <w:rsid w:val="005C70E6"/>
    <w:rsid w:val="005C7565"/>
    <w:rsid w:val="005C7993"/>
    <w:rsid w:val="005C7A0B"/>
    <w:rsid w:val="005D0AB4"/>
    <w:rsid w:val="005D15FE"/>
    <w:rsid w:val="005D1C14"/>
    <w:rsid w:val="005D2482"/>
    <w:rsid w:val="005D2844"/>
    <w:rsid w:val="005D3E8C"/>
    <w:rsid w:val="005D441F"/>
    <w:rsid w:val="005D64FA"/>
    <w:rsid w:val="005D780E"/>
    <w:rsid w:val="005E0271"/>
    <w:rsid w:val="005E15B6"/>
    <w:rsid w:val="005E1B98"/>
    <w:rsid w:val="005E2665"/>
    <w:rsid w:val="005E2C30"/>
    <w:rsid w:val="005E3AED"/>
    <w:rsid w:val="005E5A94"/>
    <w:rsid w:val="005E5C41"/>
    <w:rsid w:val="005E5D6D"/>
    <w:rsid w:val="005E5E56"/>
    <w:rsid w:val="005E64A8"/>
    <w:rsid w:val="005E683E"/>
    <w:rsid w:val="005F072D"/>
    <w:rsid w:val="005F0BC2"/>
    <w:rsid w:val="005F0BC8"/>
    <w:rsid w:val="005F1C75"/>
    <w:rsid w:val="005F1E24"/>
    <w:rsid w:val="005F2B8A"/>
    <w:rsid w:val="005F3F68"/>
    <w:rsid w:val="005F54D0"/>
    <w:rsid w:val="005F57E6"/>
    <w:rsid w:val="005F6B43"/>
    <w:rsid w:val="005F6ECE"/>
    <w:rsid w:val="00600E0D"/>
    <w:rsid w:val="00601F96"/>
    <w:rsid w:val="00602DCA"/>
    <w:rsid w:val="00604D4C"/>
    <w:rsid w:val="00605823"/>
    <w:rsid w:val="006073EF"/>
    <w:rsid w:val="006075C4"/>
    <w:rsid w:val="006078AF"/>
    <w:rsid w:val="0061025D"/>
    <w:rsid w:val="00610E6C"/>
    <w:rsid w:val="00612C18"/>
    <w:rsid w:val="006141E0"/>
    <w:rsid w:val="00615EF9"/>
    <w:rsid w:val="006203EE"/>
    <w:rsid w:val="006205FC"/>
    <w:rsid w:val="00625142"/>
    <w:rsid w:val="00630CB5"/>
    <w:rsid w:val="00630D82"/>
    <w:rsid w:val="00630FFE"/>
    <w:rsid w:val="006329C0"/>
    <w:rsid w:val="006329DC"/>
    <w:rsid w:val="00635C44"/>
    <w:rsid w:val="00637A1C"/>
    <w:rsid w:val="00640002"/>
    <w:rsid w:val="00640D96"/>
    <w:rsid w:val="006421F8"/>
    <w:rsid w:val="00644CA0"/>
    <w:rsid w:val="00646E88"/>
    <w:rsid w:val="00650AC8"/>
    <w:rsid w:val="00652147"/>
    <w:rsid w:val="00652FD2"/>
    <w:rsid w:val="00653CC4"/>
    <w:rsid w:val="0065430D"/>
    <w:rsid w:val="0065462E"/>
    <w:rsid w:val="00654C48"/>
    <w:rsid w:val="006555E1"/>
    <w:rsid w:val="00655AB5"/>
    <w:rsid w:val="00655BAB"/>
    <w:rsid w:val="00657C67"/>
    <w:rsid w:val="0066443F"/>
    <w:rsid w:val="00664F42"/>
    <w:rsid w:val="006657DF"/>
    <w:rsid w:val="00665F47"/>
    <w:rsid w:val="00666A87"/>
    <w:rsid w:val="00667DF6"/>
    <w:rsid w:val="00670445"/>
    <w:rsid w:val="00670D08"/>
    <w:rsid w:val="0067264B"/>
    <w:rsid w:val="00672EE9"/>
    <w:rsid w:val="00672FFF"/>
    <w:rsid w:val="006730EE"/>
    <w:rsid w:val="00673FC1"/>
    <w:rsid w:val="00674685"/>
    <w:rsid w:val="00674F7B"/>
    <w:rsid w:val="006753D8"/>
    <w:rsid w:val="00677881"/>
    <w:rsid w:val="0068060C"/>
    <w:rsid w:val="00681090"/>
    <w:rsid w:val="00681248"/>
    <w:rsid w:val="00681363"/>
    <w:rsid w:val="006859E9"/>
    <w:rsid w:val="00685C99"/>
    <w:rsid w:val="0068678A"/>
    <w:rsid w:val="006876C3"/>
    <w:rsid w:val="006879C9"/>
    <w:rsid w:val="00690249"/>
    <w:rsid w:val="0069162F"/>
    <w:rsid w:val="00691C57"/>
    <w:rsid w:val="00693132"/>
    <w:rsid w:val="00693581"/>
    <w:rsid w:val="006942E8"/>
    <w:rsid w:val="0069509A"/>
    <w:rsid w:val="0069548D"/>
    <w:rsid w:val="006958EB"/>
    <w:rsid w:val="00695FE0"/>
    <w:rsid w:val="00697433"/>
    <w:rsid w:val="006A00B1"/>
    <w:rsid w:val="006A1299"/>
    <w:rsid w:val="006A13EA"/>
    <w:rsid w:val="006A14B5"/>
    <w:rsid w:val="006A2926"/>
    <w:rsid w:val="006A4711"/>
    <w:rsid w:val="006A49EB"/>
    <w:rsid w:val="006A54A8"/>
    <w:rsid w:val="006A6C23"/>
    <w:rsid w:val="006A752A"/>
    <w:rsid w:val="006A7797"/>
    <w:rsid w:val="006B15C1"/>
    <w:rsid w:val="006B2C84"/>
    <w:rsid w:val="006B3138"/>
    <w:rsid w:val="006B3D29"/>
    <w:rsid w:val="006B45E4"/>
    <w:rsid w:val="006B4E59"/>
    <w:rsid w:val="006B55CC"/>
    <w:rsid w:val="006B5F4E"/>
    <w:rsid w:val="006B6540"/>
    <w:rsid w:val="006C1A31"/>
    <w:rsid w:val="006C2192"/>
    <w:rsid w:val="006C29AA"/>
    <w:rsid w:val="006C2C6A"/>
    <w:rsid w:val="006C3286"/>
    <w:rsid w:val="006C460B"/>
    <w:rsid w:val="006C4BF2"/>
    <w:rsid w:val="006C5A5B"/>
    <w:rsid w:val="006C63F3"/>
    <w:rsid w:val="006C73BB"/>
    <w:rsid w:val="006D0686"/>
    <w:rsid w:val="006D0F1C"/>
    <w:rsid w:val="006D45A2"/>
    <w:rsid w:val="006D4E91"/>
    <w:rsid w:val="006D66E2"/>
    <w:rsid w:val="006D7D23"/>
    <w:rsid w:val="006D7F43"/>
    <w:rsid w:val="006E1B8C"/>
    <w:rsid w:val="006E26C2"/>
    <w:rsid w:val="006E3EF6"/>
    <w:rsid w:val="006E4948"/>
    <w:rsid w:val="006E5C48"/>
    <w:rsid w:val="006E5CAF"/>
    <w:rsid w:val="006E68C3"/>
    <w:rsid w:val="006F1B9F"/>
    <w:rsid w:val="006F3073"/>
    <w:rsid w:val="006F4161"/>
    <w:rsid w:val="00702FB3"/>
    <w:rsid w:val="007036D7"/>
    <w:rsid w:val="00703734"/>
    <w:rsid w:val="00705044"/>
    <w:rsid w:val="00705743"/>
    <w:rsid w:val="00706346"/>
    <w:rsid w:val="00707093"/>
    <w:rsid w:val="00710501"/>
    <w:rsid w:val="00711583"/>
    <w:rsid w:val="00711BEF"/>
    <w:rsid w:val="00711D79"/>
    <w:rsid w:val="00711F39"/>
    <w:rsid w:val="00711F95"/>
    <w:rsid w:val="00711FF2"/>
    <w:rsid w:val="00713209"/>
    <w:rsid w:val="00713A84"/>
    <w:rsid w:val="007145BC"/>
    <w:rsid w:val="00714E8A"/>
    <w:rsid w:val="0071535E"/>
    <w:rsid w:val="007153AC"/>
    <w:rsid w:val="00716C40"/>
    <w:rsid w:val="0072001C"/>
    <w:rsid w:val="00721C1F"/>
    <w:rsid w:val="0072348A"/>
    <w:rsid w:val="00723AE1"/>
    <w:rsid w:val="0072657B"/>
    <w:rsid w:val="00727F13"/>
    <w:rsid w:val="00730D58"/>
    <w:rsid w:val="00731100"/>
    <w:rsid w:val="00731A07"/>
    <w:rsid w:val="00731F4E"/>
    <w:rsid w:val="007321A0"/>
    <w:rsid w:val="00735911"/>
    <w:rsid w:val="0073618C"/>
    <w:rsid w:val="00736DD6"/>
    <w:rsid w:val="007379E2"/>
    <w:rsid w:val="00740C84"/>
    <w:rsid w:val="00742022"/>
    <w:rsid w:val="007420B1"/>
    <w:rsid w:val="00742E1D"/>
    <w:rsid w:val="00742E75"/>
    <w:rsid w:val="00745B02"/>
    <w:rsid w:val="007477F7"/>
    <w:rsid w:val="0075046E"/>
    <w:rsid w:val="007516B3"/>
    <w:rsid w:val="007542F7"/>
    <w:rsid w:val="00754308"/>
    <w:rsid w:val="007552ED"/>
    <w:rsid w:val="00755522"/>
    <w:rsid w:val="00756156"/>
    <w:rsid w:val="007562D0"/>
    <w:rsid w:val="007564AC"/>
    <w:rsid w:val="0075790B"/>
    <w:rsid w:val="0076446E"/>
    <w:rsid w:val="007648BA"/>
    <w:rsid w:val="00766097"/>
    <w:rsid w:val="00770668"/>
    <w:rsid w:val="00770EE2"/>
    <w:rsid w:val="007765B3"/>
    <w:rsid w:val="00780452"/>
    <w:rsid w:val="00780F86"/>
    <w:rsid w:val="00781157"/>
    <w:rsid w:val="0078207A"/>
    <w:rsid w:val="007839DB"/>
    <w:rsid w:val="007845D3"/>
    <w:rsid w:val="00784BE7"/>
    <w:rsid w:val="007868AA"/>
    <w:rsid w:val="007929E7"/>
    <w:rsid w:val="00794427"/>
    <w:rsid w:val="007949FD"/>
    <w:rsid w:val="00796329"/>
    <w:rsid w:val="00796850"/>
    <w:rsid w:val="00797791"/>
    <w:rsid w:val="007977E7"/>
    <w:rsid w:val="00797FC7"/>
    <w:rsid w:val="007A1158"/>
    <w:rsid w:val="007A6223"/>
    <w:rsid w:val="007B05D7"/>
    <w:rsid w:val="007B0BFC"/>
    <w:rsid w:val="007B17A8"/>
    <w:rsid w:val="007B2570"/>
    <w:rsid w:val="007B3918"/>
    <w:rsid w:val="007B65BD"/>
    <w:rsid w:val="007C0A2C"/>
    <w:rsid w:val="007C1AAE"/>
    <w:rsid w:val="007C1C96"/>
    <w:rsid w:val="007C2B44"/>
    <w:rsid w:val="007C6678"/>
    <w:rsid w:val="007C6DE2"/>
    <w:rsid w:val="007C7C40"/>
    <w:rsid w:val="007D1C02"/>
    <w:rsid w:val="007D34E8"/>
    <w:rsid w:val="007D35BA"/>
    <w:rsid w:val="007D3FF3"/>
    <w:rsid w:val="007D437F"/>
    <w:rsid w:val="007D49DE"/>
    <w:rsid w:val="007D4FBA"/>
    <w:rsid w:val="007D5B9F"/>
    <w:rsid w:val="007D5F96"/>
    <w:rsid w:val="007D6A0F"/>
    <w:rsid w:val="007D6F2A"/>
    <w:rsid w:val="007D707E"/>
    <w:rsid w:val="007D7811"/>
    <w:rsid w:val="007E0770"/>
    <w:rsid w:val="007E0C8E"/>
    <w:rsid w:val="007E343D"/>
    <w:rsid w:val="007E46BD"/>
    <w:rsid w:val="007E505D"/>
    <w:rsid w:val="007E50EC"/>
    <w:rsid w:val="007E5AB9"/>
    <w:rsid w:val="007E5F2F"/>
    <w:rsid w:val="007E683A"/>
    <w:rsid w:val="007E70CC"/>
    <w:rsid w:val="007E7E42"/>
    <w:rsid w:val="007F00E7"/>
    <w:rsid w:val="007F0860"/>
    <w:rsid w:val="007F2B44"/>
    <w:rsid w:val="007F2CBC"/>
    <w:rsid w:val="007F2E42"/>
    <w:rsid w:val="007F3FDA"/>
    <w:rsid w:val="007F4EC4"/>
    <w:rsid w:val="007F5A43"/>
    <w:rsid w:val="007F6550"/>
    <w:rsid w:val="007F753D"/>
    <w:rsid w:val="007F7D1E"/>
    <w:rsid w:val="008028E7"/>
    <w:rsid w:val="00802F64"/>
    <w:rsid w:val="00803B75"/>
    <w:rsid w:val="00805D0A"/>
    <w:rsid w:val="0080720E"/>
    <w:rsid w:val="008101EE"/>
    <w:rsid w:val="00810244"/>
    <w:rsid w:val="008102CC"/>
    <w:rsid w:val="0081126C"/>
    <w:rsid w:val="00812237"/>
    <w:rsid w:val="0081330F"/>
    <w:rsid w:val="008134E8"/>
    <w:rsid w:val="00813B42"/>
    <w:rsid w:val="008147DD"/>
    <w:rsid w:val="00815A49"/>
    <w:rsid w:val="008161BA"/>
    <w:rsid w:val="00820192"/>
    <w:rsid w:val="00820E8E"/>
    <w:rsid w:val="0082169A"/>
    <w:rsid w:val="00823A8B"/>
    <w:rsid w:val="0082621E"/>
    <w:rsid w:val="008262E3"/>
    <w:rsid w:val="00826EBC"/>
    <w:rsid w:val="008271B8"/>
    <w:rsid w:val="00827346"/>
    <w:rsid w:val="0083061C"/>
    <w:rsid w:val="00831A97"/>
    <w:rsid w:val="00832171"/>
    <w:rsid w:val="0083518D"/>
    <w:rsid w:val="00835574"/>
    <w:rsid w:val="0083581D"/>
    <w:rsid w:val="00835B29"/>
    <w:rsid w:val="00837463"/>
    <w:rsid w:val="00837F92"/>
    <w:rsid w:val="00841F11"/>
    <w:rsid w:val="008436E4"/>
    <w:rsid w:val="00844CC9"/>
    <w:rsid w:val="00850EA5"/>
    <w:rsid w:val="008518FF"/>
    <w:rsid w:val="00851942"/>
    <w:rsid w:val="00851E58"/>
    <w:rsid w:val="00852035"/>
    <w:rsid w:val="0085213C"/>
    <w:rsid w:val="008522FB"/>
    <w:rsid w:val="00852510"/>
    <w:rsid w:val="008525FF"/>
    <w:rsid w:val="008531C2"/>
    <w:rsid w:val="008533A4"/>
    <w:rsid w:val="008536F9"/>
    <w:rsid w:val="00854C09"/>
    <w:rsid w:val="00856605"/>
    <w:rsid w:val="00856ABB"/>
    <w:rsid w:val="00860460"/>
    <w:rsid w:val="00860703"/>
    <w:rsid w:val="00862FC2"/>
    <w:rsid w:val="008632FB"/>
    <w:rsid w:val="00863958"/>
    <w:rsid w:val="00863E6F"/>
    <w:rsid w:val="00864188"/>
    <w:rsid w:val="00864854"/>
    <w:rsid w:val="00864AD9"/>
    <w:rsid w:val="008656E0"/>
    <w:rsid w:val="0086617D"/>
    <w:rsid w:val="00866E6E"/>
    <w:rsid w:val="0086730E"/>
    <w:rsid w:val="00867862"/>
    <w:rsid w:val="0087002B"/>
    <w:rsid w:val="008702BB"/>
    <w:rsid w:val="00871008"/>
    <w:rsid w:val="0087171F"/>
    <w:rsid w:val="00871E55"/>
    <w:rsid w:val="00871FE2"/>
    <w:rsid w:val="0087285C"/>
    <w:rsid w:val="00873FA3"/>
    <w:rsid w:val="008762CE"/>
    <w:rsid w:val="0087657D"/>
    <w:rsid w:val="00876A3B"/>
    <w:rsid w:val="0087769D"/>
    <w:rsid w:val="00877FF4"/>
    <w:rsid w:val="00881451"/>
    <w:rsid w:val="00881C8E"/>
    <w:rsid w:val="008828D4"/>
    <w:rsid w:val="008841BA"/>
    <w:rsid w:val="00886148"/>
    <w:rsid w:val="008879FB"/>
    <w:rsid w:val="0089093A"/>
    <w:rsid w:val="008A1886"/>
    <w:rsid w:val="008A1D26"/>
    <w:rsid w:val="008A3597"/>
    <w:rsid w:val="008A3F49"/>
    <w:rsid w:val="008A686E"/>
    <w:rsid w:val="008A6A78"/>
    <w:rsid w:val="008A70C1"/>
    <w:rsid w:val="008A7902"/>
    <w:rsid w:val="008B1BA7"/>
    <w:rsid w:val="008B27F2"/>
    <w:rsid w:val="008B38FB"/>
    <w:rsid w:val="008B5452"/>
    <w:rsid w:val="008B694B"/>
    <w:rsid w:val="008B6F63"/>
    <w:rsid w:val="008C0813"/>
    <w:rsid w:val="008C1F2B"/>
    <w:rsid w:val="008C411D"/>
    <w:rsid w:val="008C4D21"/>
    <w:rsid w:val="008C4EC3"/>
    <w:rsid w:val="008C4F2F"/>
    <w:rsid w:val="008C5DB5"/>
    <w:rsid w:val="008C6889"/>
    <w:rsid w:val="008C7D45"/>
    <w:rsid w:val="008D1DE9"/>
    <w:rsid w:val="008D24C4"/>
    <w:rsid w:val="008D2A58"/>
    <w:rsid w:val="008D2BED"/>
    <w:rsid w:val="008D4780"/>
    <w:rsid w:val="008D6126"/>
    <w:rsid w:val="008D6139"/>
    <w:rsid w:val="008D6C18"/>
    <w:rsid w:val="008D74C4"/>
    <w:rsid w:val="008E162C"/>
    <w:rsid w:val="008E1DBB"/>
    <w:rsid w:val="008E2F33"/>
    <w:rsid w:val="008E5C88"/>
    <w:rsid w:val="008E5DD4"/>
    <w:rsid w:val="008E73F9"/>
    <w:rsid w:val="008E7B0A"/>
    <w:rsid w:val="008F04E9"/>
    <w:rsid w:val="008F1A14"/>
    <w:rsid w:val="008F1AC1"/>
    <w:rsid w:val="008F37EE"/>
    <w:rsid w:val="008F3F1D"/>
    <w:rsid w:val="008F4019"/>
    <w:rsid w:val="008F404C"/>
    <w:rsid w:val="008F40AD"/>
    <w:rsid w:val="008F42E2"/>
    <w:rsid w:val="008F48C0"/>
    <w:rsid w:val="008F70B0"/>
    <w:rsid w:val="009000AD"/>
    <w:rsid w:val="009004EB"/>
    <w:rsid w:val="00900CF1"/>
    <w:rsid w:val="0090261E"/>
    <w:rsid w:val="009026F8"/>
    <w:rsid w:val="00902DC9"/>
    <w:rsid w:val="009045B5"/>
    <w:rsid w:val="00904935"/>
    <w:rsid w:val="00904BE7"/>
    <w:rsid w:val="009057A8"/>
    <w:rsid w:val="0090684B"/>
    <w:rsid w:val="00906951"/>
    <w:rsid w:val="00907198"/>
    <w:rsid w:val="00907492"/>
    <w:rsid w:val="00910026"/>
    <w:rsid w:val="0091046C"/>
    <w:rsid w:val="00910A04"/>
    <w:rsid w:val="00912128"/>
    <w:rsid w:val="00912994"/>
    <w:rsid w:val="009131C5"/>
    <w:rsid w:val="00913ECA"/>
    <w:rsid w:val="00914046"/>
    <w:rsid w:val="009155C2"/>
    <w:rsid w:val="009156E0"/>
    <w:rsid w:val="00916CA9"/>
    <w:rsid w:val="00916EBA"/>
    <w:rsid w:val="0091717C"/>
    <w:rsid w:val="009201C9"/>
    <w:rsid w:val="00920F2F"/>
    <w:rsid w:val="00921778"/>
    <w:rsid w:val="00922032"/>
    <w:rsid w:val="00922483"/>
    <w:rsid w:val="00922692"/>
    <w:rsid w:val="009226C2"/>
    <w:rsid w:val="0092301E"/>
    <w:rsid w:val="009231B5"/>
    <w:rsid w:val="009249E3"/>
    <w:rsid w:val="00925559"/>
    <w:rsid w:val="0092757A"/>
    <w:rsid w:val="009308BA"/>
    <w:rsid w:val="00930CBF"/>
    <w:rsid w:val="0093141C"/>
    <w:rsid w:val="00932064"/>
    <w:rsid w:val="00932D5C"/>
    <w:rsid w:val="0093303B"/>
    <w:rsid w:val="00933FD3"/>
    <w:rsid w:val="0093508A"/>
    <w:rsid w:val="0093631E"/>
    <w:rsid w:val="0093666E"/>
    <w:rsid w:val="00936853"/>
    <w:rsid w:val="00936A44"/>
    <w:rsid w:val="00937B35"/>
    <w:rsid w:val="00942908"/>
    <w:rsid w:val="00942AEF"/>
    <w:rsid w:val="00942EAE"/>
    <w:rsid w:val="00943191"/>
    <w:rsid w:val="0094324A"/>
    <w:rsid w:val="0094428A"/>
    <w:rsid w:val="00944661"/>
    <w:rsid w:val="0094470A"/>
    <w:rsid w:val="00945C13"/>
    <w:rsid w:val="00945EBF"/>
    <w:rsid w:val="009465DF"/>
    <w:rsid w:val="009476A5"/>
    <w:rsid w:val="009502DD"/>
    <w:rsid w:val="00951419"/>
    <w:rsid w:val="0095190A"/>
    <w:rsid w:val="0095330A"/>
    <w:rsid w:val="00954912"/>
    <w:rsid w:val="00954C6C"/>
    <w:rsid w:val="009617FC"/>
    <w:rsid w:val="00962E7D"/>
    <w:rsid w:val="00963D86"/>
    <w:rsid w:val="00963EAA"/>
    <w:rsid w:val="0096618F"/>
    <w:rsid w:val="00966790"/>
    <w:rsid w:val="00966824"/>
    <w:rsid w:val="00967EFB"/>
    <w:rsid w:val="00970E76"/>
    <w:rsid w:val="00974073"/>
    <w:rsid w:val="0097444A"/>
    <w:rsid w:val="00974C90"/>
    <w:rsid w:val="0097615E"/>
    <w:rsid w:val="00977234"/>
    <w:rsid w:val="00980CE9"/>
    <w:rsid w:val="0098178F"/>
    <w:rsid w:val="00982FF6"/>
    <w:rsid w:val="00983B32"/>
    <w:rsid w:val="00983CC0"/>
    <w:rsid w:val="00984627"/>
    <w:rsid w:val="009853AC"/>
    <w:rsid w:val="009861C4"/>
    <w:rsid w:val="009864E1"/>
    <w:rsid w:val="00986C72"/>
    <w:rsid w:val="00987E63"/>
    <w:rsid w:val="00990441"/>
    <w:rsid w:val="00991B03"/>
    <w:rsid w:val="00991E7F"/>
    <w:rsid w:val="00992B33"/>
    <w:rsid w:val="00993545"/>
    <w:rsid w:val="00995CAB"/>
    <w:rsid w:val="009975C5"/>
    <w:rsid w:val="009A0E71"/>
    <w:rsid w:val="009A1661"/>
    <w:rsid w:val="009A22F8"/>
    <w:rsid w:val="009A2569"/>
    <w:rsid w:val="009A66E1"/>
    <w:rsid w:val="009B021F"/>
    <w:rsid w:val="009B0449"/>
    <w:rsid w:val="009B3E0F"/>
    <w:rsid w:val="009B40A7"/>
    <w:rsid w:val="009C0419"/>
    <w:rsid w:val="009C0DF9"/>
    <w:rsid w:val="009C273E"/>
    <w:rsid w:val="009C2A28"/>
    <w:rsid w:val="009C41D9"/>
    <w:rsid w:val="009C4BF2"/>
    <w:rsid w:val="009C5A6D"/>
    <w:rsid w:val="009C5B9F"/>
    <w:rsid w:val="009C5CC3"/>
    <w:rsid w:val="009C65AF"/>
    <w:rsid w:val="009C666C"/>
    <w:rsid w:val="009C69EB"/>
    <w:rsid w:val="009C7D0E"/>
    <w:rsid w:val="009D011F"/>
    <w:rsid w:val="009D14D8"/>
    <w:rsid w:val="009D1734"/>
    <w:rsid w:val="009D18EF"/>
    <w:rsid w:val="009D1E57"/>
    <w:rsid w:val="009D228F"/>
    <w:rsid w:val="009D22B7"/>
    <w:rsid w:val="009D596D"/>
    <w:rsid w:val="009D6406"/>
    <w:rsid w:val="009D6484"/>
    <w:rsid w:val="009D651E"/>
    <w:rsid w:val="009D703D"/>
    <w:rsid w:val="009E0162"/>
    <w:rsid w:val="009E0424"/>
    <w:rsid w:val="009E303A"/>
    <w:rsid w:val="009E3A6E"/>
    <w:rsid w:val="009E4134"/>
    <w:rsid w:val="009E55F2"/>
    <w:rsid w:val="009E5EF2"/>
    <w:rsid w:val="009E63F9"/>
    <w:rsid w:val="009F0567"/>
    <w:rsid w:val="009F0F2F"/>
    <w:rsid w:val="009F0FDF"/>
    <w:rsid w:val="009F2D9B"/>
    <w:rsid w:val="009F5411"/>
    <w:rsid w:val="009F580B"/>
    <w:rsid w:val="009F7775"/>
    <w:rsid w:val="00A0189B"/>
    <w:rsid w:val="00A02C70"/>
    <w:rsid w:val="00A02ECE"/>
    <w:rsid w:val="00A055D7"/>
    <w:rsid w:val="00A07BAB"/>
    <w:rsid w:val="00A10862"/>
    <w:rsid w:val="00A13590"/>
    <w:rsid w:val="00A17125"/>
    <w:rsid w:val="00A20153"/>
    <w:rsid w:val="00A20751"/>
    <w:rsid w:val="00A20B3E"/>
    <w:rsid w:val="00A20BF3"/>
    <w:rsid w:val="00A2127D"/>
    <w:rsid w:val="00A2288E"/>
    <w:rsid w:val="00A228F5"/>
    <w:rsid w:val="00A23454"/>
    <w:rsid w:val="00A2378F"/>
    <w:rsid w:val="00A243CE"/>
    <w:rsid w:val="00A24F42"/>
    <w:rsid w:val="00A25E65"/>
    <w:rsid w:val="00A2618E"/>
    <w:rsid w:val="00A2653B"/>
    <w:rsid w:val="00A30CF2"/>
    <w:rsid w:val="00A31001"/>
    <w:rsid w:val="00A31502"/>
    <w:rsid w:val="00A31E40"/>
    <w:rsid w:val="00A3207A"/>
    <w:rsid w:val="00A339D7"/>
    <w:rsid w:val="00A33EF8"/>
    <w:rsid w:val="00A34AFF"/>
    <w:rsid w:val="00A36D5D"/>
    <w:rsid w:val="00A371CB"/>
    <w:rsid w:val="00A40645"/>
    <w:rsid w:val="00A41DB6"/>
    <w:rsid w:val="00A45A2F"/>
    <w:rsid w:val="00A46E2A"/>
    <w:rsid w:val="00A50860"/>
    <w:rsid w:val="00A50B49"/>
    <w:rsid w:val="00A526BE"/>
    <w:rsid w:val="00A52D46"/>
    <w:rsid w:val="00A537DB"/>
    <w:rsid w:val="00A546E3"/>
    <w:rsid w:val="00A559F6"/>
    <w:rsid w:val="00A55A9B"/>
    <w:rsid w:val="00A56B27"/>
    <w:rsid w:val="00A56FF2"/>
    <w:rsid w:val="00A608C2"/>
    <w:rsid w:val="00A60C4D"/>
    <w:rsid w:val="00A60E81"/>
    <w:rsid w:val="00A61223"/>
    <w:rsid w:val="00A6298D"/>
    <w:rsid w:val="00A65F8E"/>
    <w:rsid w:val="00A661B7"/>
    <w:rsid w:val="00A67D88"/>
    <w:rsid w:val="00A70766"/>
    <w:rsid w:val="00A71AD0"/>
    <w:rsid w:val="00A71C4C"/>
    <w:rsid w:val="00A723DA"/>
    <w:rsid w:val="00A72716"/>
    <w:rsid w:val="00A72A1F"/>
    <w:rsid w:val="00A74092"/>
    <w:rsid w:val="00A748AA"/>
    <w:rsid w:val="00A74A19"/>
    <w:rsid w:val="00A75E77"/>
    <w:rsid w:val="00A80784"/>
    <w:rsid w:val="00A80967"/>
    <w:rsid w:val="00A81368"/>
    <w:rsid w:val="00A81ED0"/>
    <w:rsid w:val="00A82585"/>
    <w:rsid w:val="00A83365"/>
    <w:rsid w:val="00A8363C"/>
    <w:rsid w:val="00A83F92"/>
    <w:rsid w:val="00A84444"/>
    <w:rsid w:val="00A84922"/>
    <w:rsid w:val="00A8725F"/>
    <w:rsid w:val="00A908A1"/>
    <w:rsid w:val="00A9098F"/>
    <w:rsid w:val="00AA094A"/>
    <w:rsid w:val="00AA20E2"/>
    <w:rsid w:val="00AA285A"/>
    <w:rsid w:val="00AA468E"/>
    <w:rsid w:val="00AA5C62"/>
    <w:rsid w:val="00AA6851"/>
    <w:rsid w:val="00AA6A08"/>
    <w:rsid w:val="00AA7DE5"/>
    <w:rsid w:val="00AB0322"/>
    <w:rsid w:val="00AB0F0A"/>
    <w:rsid w:val="00AB20F5"/>
    <w:rsid w:val="00AB2742"/>
    <w:rsid w:val="00AB30AC"/>
    <w:rsid w:val="00AB3A6A"/>
    <w:rsid w:val="00AB3FD9"/>
    <w:rsid w:val="00AB496C"/>
    <w:rsid w:val="00AB4AA5"/>
    <w:rsid w:val="00AB4C20"/>
    <w:rsid w:val="00AB506F"/>
    <w:rsid w:val="00AB5E72"/>
    <w:rsid w:val="00AB680F"/>
    <w:rsid w:val="00AB68F4"/>
    <w:rsid w:val="00AB69E8"/>
    <w:rsid w:val="00AB7A69"/>
    <w:rsid w:val="00AC29B2"/>
    <w:rsid w:val="00AC2A0D"/>
    <w:rsid w:val="00AC5D7B"/>
    <w:rsid w:val="00AC5DCE"/>
    <w:rsid w:val="00AD04AF"/>
    <w:rsid w:val="00AD199B"/>
    <w:rsid w:val="00AD206D"/>
    <w:rsid w:val="00AD4A59"/>
    <w:rsid w:val="00AD59A2"/>
    <w:rsid w:val="00AD5CC0"/>
    <w:rsid w:val="00AE0391"/>
    <w:rsid w:val="00AE03DF"/>
    <w:rsid w:val="00AE0831"/>
    <w:rsid w:val="00AE176E"/>
    <w:rsid w:val="00AE248F"/>
    <w:rsid w:val="00AE30FC"/>
    <w:rsid w:val="00AE4616"/>
    <w:rsid w:val="00AE5458"/>
    <w:rsid w:val="00AE657B"/>
    <w:rsid w:val="00AE6B13"/>
    <w:rsid w:val="00AF12C1"/>
    <w:rsid w:val="00AF1B95"/>
    <w:rsid w:val="00AF20F1"/>
    <w:rsid w:val="00AF2F74"/>
    <w:rsid w:val="00AF43DA"/>
    <w:rsid w:val="00AF696B"/>
    <w:rsid w:val="00AF6FEA"/>
    <w:rsid w:val="00AF726E"/>
    <w:rsid w:val="00B02D6D"/>
    <w:rsid w:val="00B03A7E"/>
    <w:rsid w:val="00B0656B"/>
    <w:rsid w:val="00B06A3E"/>
    <w:rsid w:val="00B10560"/>
    <w:rsid w:val="00B10FB1"/>
    <w:rsid w:val="00B11858"/>
    <w:rsid w:val="00B12F39"/>
    <w:rsid w:val="00B138CD"/>
    <w:rsid w:val="00B151B8"/>
    <w:rsid w:val="00B15714"/>
    <w:rsid w:val="00B20A41"/>
    <w:rsid w:val="00B20DA8"/>
    <w:rsid w:val="00B21410"/>
    <w:rsid w:val="00B2175B"/>
    <w:rsid w:val="00B237CA"/>
    <w:rsid w:val="00B26456"/>
    <w:rsid w:val="00B26F0D"/>
    <w:rsid w:val="00B316C2"/>
    <w:rsid w:val="00B317A0"/>
    <w:rsid w:val="00B31F31"/>
    <w:rsid w:val="00B33332"/>
    <w:rsid w:val="00B334DF"/>
    <w:rsid w:val="00B35F02"/>
    <w:rsid w:val="00B366FD"/>
    <w:rsid w:val="00B3732C"/>
    <w:rsid w:val="00B41234"/>
    <w:rsid w:val="00B42F31"/>
    <w:rsid w:val="00B4361B"/>
    <w:rsid w:val="00B44421"/>
    <w:rsid w:val="00B45E74"/>
    <w:rsid w:val="00B46E3A"/>
    <w:rsid w:val="00B51DAA"/>
    <w:rsid w:val="00B52236"/>
    <w:rsid w:val="00B5233D"/>
    <w:rsid w:val="00B5381B"/>
    <w:rsid w:val="00B5554A"/>
    <w:rsid w:val="00B57ABB"/>
    <w:rsid w:val="00B6022B"/>
    <w:rsid w:val="00B60983"/>
    <w:rsid w:val="00B60C37"/>
    <w:rsid w:val="00B6112A"/>
    <w:rsid w:val="00B628E3"/>
    <w:rsid w:val="00B62A37"/>
    <w:rsid w:val="00B63BFA"/>
    <w:rsid w:val="00B645A8"/>
    <w:rsid w:val="00B6486A"/>
    <w:rsid w:val="00B6545C"/>
    <w:rsid w:val="00B65E4E"/>
    <w:rsid w:val="00B66430"/>
    <w:rsid w:val="00B67511"/>
    <w:rsid w:val="00B6772B"/>
    <w:rsid w:val="00B701EC"/>
    <w:rsid w:val="00B70DDA"/>
    <w:rsid w:val="00B71517"/>
    <w:rsid w:val="00B72072"/>
    <w:rsid w:val="00B73333"/>
    <w:rsid w:val="00B7343D"/>
    <w:rsid w:val="00B73B01"/>
    <w:rsid w:val="00B76193"/>
    <w:rsid w:val="00B762D6"/>
    <w:rsid w:val="00B76A8E"/>
    <w:rsid w:val="00B76AC5"/>
    <w:rsid w:val="00B84B35"/>
    <w:rsid w:val="00B84DAF"/>
    <w:rsid w:val="00B85CED"/>
    <w:rsid w:val="00B85E02"/>
    <w:rsid w:val="00B85E36"/>
    <w:rsid w:val="00B87F3C"/>
    <w:rsid w:val="00B90ADB"/>
    <w:rsid w:val="00B914D8"/>
    <w:rsid w:val="00B93111"/>
    <w:rsid w:val="00B94FD6"/>
    <w:rsid w:val="00B96348"/>
    <w:rsid w:val="00B96B6A"/>
    <w:rsid w:val="00BA0144"/>
    <w:rsid w:val="00BA17FF"/>
    <w:rsid w:val="00BA22E5"/>
    <w:rsid w:val="00BA2B22"/>
    <w:rsid w:val="00BA3958"/>
    <w:rsid w:val="00BA3ABB"/>
    <w:rsid w:val="00BA3B4D"/>
    <w:rsid w:val="00BA4C34"/>
    <w:rsid w:val="00BA5379"/>
    <w:rsid w:val="00BA5963"/>
    <w:rsid w:val="00BB0004"/>
    <w:rsid w:val="00BB069C"/>
    <w:rsid w:val="00BB2C53"/>
    <w:rsid w:val="00BB312C"/>
    <w:rsid w:val="00BB4B61"/>
    <w:rsid w:val="00BB51EA"/>
    <w:rsid w:val="00BB5CD0"/>
    <w:rsid w:val="00BB6F83"/>
    <w:rsid w:val="00BB6FBE"/>
    <w:rsid w:val="00BB72B5"/>
    <w:rsid w:val="00BB7A89"/>
    <w:rsid w:val="00BB7F9B"/>
    <w:rsid w:val="00BC0C17"/>
    <w:rsid w:val="00BC1ADD"/>
    <w:rsid w:val="00BC25BE"/>
    <w:rsid w:val="00BC76FE"/>
    <w:rsid w:val="00BD185F"/>
    <w:rsid w:val="00BD2D6B"/>
    <w:rsid w:val="00BD2DE0"/>
    <w:rsid w:val="00BD3539"/>
    <w:rsid w:val="00BD3568"/>
    <w:rsid w:val="00BD3728"/>
    <w:rsid w:val="00BD3C49"/>
    <w:rsid w:val="00BD4000"/>
    <w:rsid w:val="00BD437B"/>
    <w:rsid w:val="00BD459B"/>
    <w:rsid w:val="00BD5678"/>
    <w:rsid w:val="00BD5925"/>
    <w:rsid w:val="00BD7016"/>
    <w:rsid w:val="00BE06C3"/>
    <w:rsid w:val="00BE0A32"/>
    <w:rsid w:val="00BE25A7"/>
    <w:rsid w:val="00BE36D7"/>
    <w:rsid w:val="00BE3BAD"/>
    <w:rsid w:val="00BE48BD"/>
    <w:rsid w:val="00BE4D70"/>
    <w:rsid w:val="00BE5257"/>
    <w:rsid w:val="00BE607C"/>
    <w:rsid w:val="00BE64BF"/>
    <w:rsid w:val="00BE729B"/>
    <w:rsid w:val="00BF0475"/>
    <w:rsid w:val="00BF1C4C"/>
    <w:rsid w:val="00BF31D7"/>
    <w:rsid w:val="00BF42A4"/>
    <w:rsid w:val="00BF4C13"/>
    <w:rsid w:val="00BF6D0E"/>
    <w:rsid w:val="00C01038"/>
    <w:rsid w:val="00C0195A"/>
    <w:rsid w:val="00C02298"/>
    <w:rsid w:val="00C05AAA"/>
    <w:rsid w:val="00C0697C"/>
    <w:rsid w:val="00C06C7B"/>
    <w:rsid w:val="00C1018A"/>
    <w:rsid w:val="00C10B24"/>
    <w:rsid w:val="00C12124"/>
    <w:rsid w:val="00C12B69"/>
    <w:rsid w:val="00C13520"/>
    <w:rsid w:val="00C1527A"/>
    <w:rsid w:val="00C159D5"/>
    <w:rsid w:val="00C17BD3"/>
    <w:rsid w:val="00C208B5"/>
    <w:rsid w:val="00C21F77"/>
    <w:rsid w:val="00C22CDA"/>
    <w:rsid w:val="00C23DBF"/>
    <w:rsid w:val="00C255BE"/>
    <w:rsid w:val="00C25E63"/>
    <w:rsid w:val="00C26D07"/>
    <w:rsid w:val="00C30CE9"/>
    <w:rsid w:val="00C31272"/>
    <w:rsid w:val="00C3335C"/>
    <w:rsid w:val="00C33505"/>
    <w:rsid w:val="00C34E60"/>
    <w:rsid w:val="00C35830"/>
    <w:rsid w:val="00C3703D"/>
    <w:rsid w:val="00C41C4D"/>
    <w:rsid w:val="00C44CF9"/>
    <w:rsid w:val="00C4547E"/>
    <w:rsid w:val="00C45801"/>
    <w:rsid w:val="00C45B1E"/>
    <w:rsid w:val="00C45EA9"/>
    <w:rsid w:val="00C4715D"/>
    <w:rsid w:val="00C52733"/>
    <w:rsid w:val="00C53A61"/>
    <w:rsid w:val="00C5561C"/>
    <w:rsid w:val="00C565A0"/>
    <w:rsid w:val="00C57EA1"/>
    <w:rsid w:val="00C6093D"/>
    <w:rsid w:val="00C61871"/>
    <w:rsid w:val="00C62E3B"/>
    <w:rsid w:val="00C63468"/>
    <w:rsid w:val="00C63ABA"/>
    <w:rsid w:val="00C64E64"/>
    <w:rsid w:val="00C65832"/>
    <w:rsid w:val="00C6684C"/>
    <w:rsid w:val="00C70839"/>
    <w:rsid w:val="00C72DFE"/>
    <w:rsid w:val="00C74E6F"/>
    <w:rsid w:val="00C75221"/>
    <w:rsid w:val="00C75D06"/>
    <w:rsid w:val="00C75D9C"/>
    <w:rsid w:val="00C76600"/>
    <w:rsid w:val="00C775BD"/>
    <w:rsid w:val="00C809D7"/>
    <w:rsid w:val="00C80CEC"/>
    <w:rsid w:val="00C81C45"/>
    <w:rsid w:val="00C83275"/>
    <w:rsid w:val="00C84FD2"/>
    <w:rsid w:val="00C85039"/>
    <w:rsid w:val="00C86A2D"/>
    <w:rsid w:val="00C86C21"/>
    <w:rsid w:val="00C86C4A"/>
    <w:rsid w:val="00C871A5"/>
    <w:rsid w:val="00C87750"/>
    <w:rsid w:val="00C87C60"/>
    <w:rsid w:val="00C90F56"/>
    <w:rsid w:val="00C92FE3"/>
    <w:rsid w:val="00C94755"/>
    <w:rsid w:val="00C95589"/>
    <w:rsid w:val="00C9564C"/>
    <w:rsid w:val="00C956FA"/>
    <w:rsid w:val="00C96EAA"/>
    <w:rsid w:val="00C96FC4"/>
    <w:rsid w:val="00C975FF"/>
    <w:rsid w:val="00CA1599"/>
    <w:rsid w:val="00CA252E"/>
    <w:rsid w:val="00CA2C5F"/>
    <w:rsid w:val="00CA34E1"/>
    <w:rsid w:val="00CA4216"/>
    <w:rsid w:val="00CA6F1F"/>
    <w:rsid w:val="00CB042D"/>
    <w:rsid w:val="00CB043F"/>
    <w:rsid w:val="00CB16E8"/>
    <w:rsid w:val="00CB4445"/>
    <w:rsid w:val="00CB46D4"/>
    <w:rsid w:val="00CB4EF3"/>
    <w:rsid w:val="00CB707E"/>
    <w:rsid w:val="00CC04DD"/>
    <w:rsid w:val="00CC1149"/>
    <w:rsid w:val="00CC2267"/>
    <w:rsid w:val="00CC4310"/>
    <w:rsid w:val="00CC4D61"/>
    <w:rsid w:val="00CC534C"/>
    <w:rsid w:val="00CC73EC"/>
    <w:rsid w:val="00CD21A5"/>
    <w:rsid w:val="00CD26B8"/>
    <w:rsid w:val="00CD2DE9"/>
    <w:rsid w:val="00CD7B05"/>
    <w:rsid w:val="00CE0302"/>
    <w:rsid w:val="00CE1A3C"/>
    <w:rsid w:val="00CE2C7E"/>
    <w:rsid w:val="00CE3EE3"/>
    <w:rsid w:val="00CE42DF"/>
    <w:rsid w:val="00CE57F1"/>
    <w:rsid w:val="00CE67C4"/>
    <w:rsid w:val="00CE6B10"/>
    <w:rsid w:val="00CE7C5D"/>
    <w:rsid w:val="00CE7C9D"/>
    <w:rsid w:val="00CF127A"/>
    <w:rsid w:val="00CF17FF"/>
    <w:rsid w:val="00CF1AF2"/>
    <w:rsid w:val="00CF1FCF"/>
    <w:rsid w:val="00CF5702"/>
    <w:rsid w:val="00CF6B77"/>
    <w:rsid w:val="00CF73F2"/>
    <w:rsid w:val="00CF7C51"/>
    <w:rsid w:val="00D002DE"/>
    <w:rsid w:val="00D00FAD"/>
    <w:rsid w:val="00D0143D"/>
    <w:rsid w:val="00D01E82"/>
    <w:rsid w:val="00D0237B"/>
    <w:rsid w:val="00D038F4"/>
    <w:rsid w:val="00D1033F"/>
    <w:rsid w:val="00D10A4C"/>
    <w:rsid w:val="00D1151F"/>
    <w:rsid w:val="00D136DB"/>
    <w:rsid w:val="00D13BA1"/>
    <w:rsid w:val="00D13D6A"/>
    <w:rsid w:val="00D14781"/>
    <w:rsid w:val="00D20243"/>
    <w:rsid w:val="00D21B2D"/>
    <w:rsid w:val="00D23F7D"/>
    <w:rsid w:val="00D2423B"/>
    <w:rsid w:val="00D24263"/>
    <w:rsid w:val="00D24275"/>
    <w:rsid w:val="00D253CD"/>
    <w:rsid w:val="00D25777"/>
    <w:rsid w:val="00D26BA5"/>
    <w:rsid w:val="00D27920"/>
    <w:rsid w:val="00D333C7"/>
    <w:rsid w:val="00D3396D"/>
    <w:rsid w:val="00D36DFA"/>
    <w:rsid w:val="00D40E15"/>
    <w:rsid w:val="00D41EF4"/>
    <w:rsid w:val="00D45D5E"/>
    <w:rsid w:val="00D46243"/>
    <w:rsid w:val="00D47324"/>
    <w:rsid w:val="00D477FA"/>
    <w:rsid w:val="00D50ED1"/>
    <w:rsid w:val="00D511FC"/>
    <w:rsid w:val="00D514CD"/>
    <w:rsid w:val="00D53BA6"/>
    <w:rsid w:val="00D55CA9"/>
    <w:rsid w:val="00D57ECE"/>
    <w:rsid w:val="00D60121"/>
    <w:rsid w:val="00D61427"/>
    <w:rsid w:val="00D61632"/>
    <w:rsid w:val="00D61C2D"/>
    <w:rsid w:val="00D62F43"/>
    <w:rsid w:val="00D6338F"/>
    <w:rsid w:val="00D63D5D"/>
    <w:rsid w:val="00D63DD1"/>
    <w:rsid w:val="00D64065"/>
    <w:rsid w:val="00D64BF6"/>
    <w:rsid w:val="00D67F76"/>
    <w:rsid w:val="00D7220D"/>
    <w:rsid w:val="00D74CFC"/>
    <w:rsid w:val="00D75FCC"/>
    <w:rsid w:val="00D76797"/>
    <w:rsid w:val="00D82539"/>
    <w:rsid w:val="00D8617B"/>
    <w:rsid w:val="00D865EE"/>
    <w:rsid w:val="00D873C2"/>
    <w:rsid w:val="00D905AD"/>
    <w:rsid w:val="00D92636"/>
    <w:rsid w:val="00D92CFD"/>
    <w:rsid w:val="00D9431E"/>
    <w:rsid w:val="00D94760"/>
    <w:rsid w:val="00DA1CF0"/>
    <w:rsid w:val="00DA2163"/>
    <w:rsid w:val="00DA3A57"/>
    <w:rsid w:val="00DA692F"/>
    <w:rsid w:val="00DA6F98"/>
    <w:rsid w:val="00DB100A"/>
    <w:rsid w:val="00DB2E8F"/>
    <w:rsid w:val="00DB468B"/>
    <w:rsid w:val="00DB4E06"/>
    <w:rsid w:val="00DB6210"/>
    <w:rsid w:val="00DB623F"/>
    <w:rsid w:val="00DB62F2"/>
    <w:rsid w:val="00DB6736"/>
    <w:rsid w:val="00DC1FCC"/>
    <w:rsid w:val="00DC36F8"/>
    <w:rsid w:val="00DC4A70"/>
    <w:rsid w:val="00DC5CF0"/>
    <w:rsid w:val="00DC5D32"/>
    <w:rsid w:val="00DC5EB8"/>
    <w:rsid w:val="00DD0E14"/>
    <w:rsid w:val="00DD1680"/>
    <w:rsid w:val="00DD2A3F"/>
    <w:rsid w:val="00DD31D6"/>
    <w:rsid w:val="00DD31F4"/>
    <w:rsid w:val="00DD3916"/>
    <w:rsid w:val="00DD3A2D"/>
    <w:rsid w:val="00DD4364"/>
    <w:rsid w:val="00DD65C6"/>
    <w:rsid w:val="00DE1107"/>
    <w:rsid w:val="00DE27FC"/>
    <w:rsid w:val="00DE29A2"/>
    <w:rsid w:val="00DE3DA1"/>
    <w:rsid w:val="00DE3DE9"/>
    <w:rsid w:val="00DE406F"/>
    <w:rsid w:val="00DE4FD8"/>
    <w:rsid w:val="00DE6400"/>
    <w:rsid w:val="00DE6906"/>
    <w:rsid w:val="00DE6DE1"/>
    <w:rsid w:val="00DE6E84"/>
    <w:rsid w:val="00DF1E76"/>
    <w:rsid w:val="00DF1FFF"/>
    <w:rsid w:val="00DF2F83"/>
    <w:rsid w:val="00DF4E1C"/>
    <w:rsid w:val="00DF7BB4"/>
    <w:rsid w:val="00E0009A"/>
    <w:rsid w:val="00E0075C"/>
    <w:rsid w:val="00E04968"/>
    <w:rsid w:val="00E04DEA"/>
    <w:rsid w:val="00E063F0"/>
    <w:rsid w:val="00E06D69"/>
    <w:rsid w:val="00E07480"/>
    <w:rsid w:val="00E1072A"/>
    <w:rsid w:val="00E11933"/>
    <w:rsid w:val="00E11CB8"/>
    <w:rsid w:val="00E1251E"/>
    <w:rsid w:val="00E13054"/>
    <w:rsid w:val="00E13B6C"/>
    <w:rsid w:val="00E147FA"/>
    <w:rsid w:val="00E1608E"/>
    <w:rsid w:val="00E1720C"/>
    <w:rsid w:val="00E2241E"/>
    <w:rsid w:val="00E22C10"/>
    <w:rsid w:val="00E250A4"/>
    <w:rsid w:val="00E256DB"/>
    <w:rsid w:val="00E259FC"/>
    <w:rsid w:val="00E2678B"/>
    <w:rsid w:val="00E30CC7"/>
    <w:rsid w:val="00E3375C"/>
    <w:rsid w:val="00E345FC"/>
    <w:rsid w:val="00E34BB0"/>
    <w:rsid w:val="00E34BBB"/>
    <w:rsid w:val="00E43DBC"/>
    <w:rsid w:val="00E44779"/>
    <w:rsid w:val="00E45920"/>
    <w:rsid w:val="00E46308"/>
    <w:rsid w:val="00E465DA"/>
    <w:rsid w:val="00E46C52"/>
    <w:rsid w:val="00E474C1"/>
    <w:rsid w:val="00E47900"/>
    <w:rsid w:val="00E47BF3"/>
    <w:rsid w:val="00E50480"/>
    <w:rsid w:val="00E52156"/>
    <w:rsid w:val="00E5722B"/>
    <w:rsid w:val="00E57A1C"/>
    <w:rsid w:val="00E6082B"/>
    <w:rsid w:val="00E60981"/>
    <w:rsid w:val="00E61F81"/>
    <w:rsid w:val="00E627FC"/>
    <w:rsid w:val="00E639C3"/>
    <w:rsid w:val="00E64E60"/>
    <w:rsid w:val="00E65CD7"/>
    <w:rsid w:val="00E65F09"/>
    <w:rsid w:val="00E66BC3"/>
    <w:rsid w:val="00E67B36"/>
    <w:rsid w:val="00E7233A"/>
    <w:rsid w:val="00E72743"/>
    <w:rsid w:val="00E73076"/>
    <w:rsid w:val="00E7355F"/>
    <w:rsid w:val="00E75787"/>
    <w:rsid w:val="00E80497"/>
    <w:rsid w:val="00E816F0"/>
    <w:rsid w:val="00E81746"/>
    <w:rsid w:val="00E827D9"/>
    <w:rsid w:val="00E8294A"/>
    <w:rsid w:val="00E84263"/>
    <w:rsid w:val="00E87C59"/>
    <w:rsid w:val="00E904F9"/>
    <w:rsid w:val="00E90DD9"/>
    <w:rsid w:val="00E90F56"/>
    <w:rsid w:val="00E920F0"/>
    <w:rsid w:val="00E92112"/>
    <w:rsid w:val="00E93224"/>
    <w:rsid w:val="00E95009"/>
    <w:rsid w:val="00E962B9"/>
    <w:rsid w:val="00E9652B"/>
    <w:rsid w:val="00E97C9E"/>
    <w:rsid w:val="00EA04A1"/>
    <w:rsid w:val="00EA0CE7"/>
    <w:rsid w:val="00EA4E86"/>
    <w:rsid w:val="00EA549B"/>
    <w:rsid w:val="00EA7996"/>
    <w:rsid w:val="00EB170A"/>
    <w:rsid w:val="00EB23AD"/>
    <w:rsid w:val="00EB2696"/>
    <w:rsid w:val="00EB2B39"/>
    <w:rsid w:val="00EB42BF"/>
    <w:rsid w:val="00EB5FF9"/>
    <w:rsid w:val="00EC0485"/>
    <w:rsid w:val="00EC1BD8"/>
    <w:rsid w:val="00EC283D"/>
    <w:rsid w:val="00EC4245"/>
    <w:rsid w:val="00EC5B9E"/>
    <w:rsid w:val="00EC604B"/>
    <w:rsid w:val="00EC60E3"/>
    <w:rsid w:val="00EC635A"/>
    <w:rsid w:val="00EC6CFE"/>
    <w:rsid w:val="00EC78A9"/>
    <w:rsid w:val="00ED0673"/>
    <w:rsid w:val="00ED0D0F"/>
    <w:rsid w:val="00ED14FB"/>
    <w:rsid w:val="00ED17A6"/>
    <w:rsid w:val="00ED1EB5"/>
    <w:rsid w:val="00ED4BB5"/>
    <w:rsid w:val="00ED5E7B"/>
    <w:rsid w:val="00ED72EC"/>
    <w:rsid w:val="00ED7900"/>
    <w:rsid w:val="00EE05AD"/>
    <w:rsid w:val="00EE11C8"/>
    <w:rsid w:val="00EE14B0"/>
    <w:rsid w:val="00EE1EEF"/>
    <w:rsid w:val="00EE2577"/>
    <w:rsid w:val="00EE2B70"/>
    <w:rsid w:val="00EE2C52"/>
    <w:rsid w:val="00EE3DC8"/>
    <w:rsid w:val="00EE47BC"/>
    <w:rsid w:val="00EE4945"/>
    <w:rsid w:val="00EE536E"/>
    <w:rsid w:val="00EE63B7"/>
    <w:rsid w:val="00EE6529"/>
    <w:rsid w:val="00EF13AD"/>
    <w:rsid w:val="00EF23F2"/>
    <w:rsid w:val="00EF342F"/>
    <w:rsid w:val="00EF5876"/>
    <w:rsid w:val="00EF61F0"/>
    <w:rsid w:val="00EF78A6"/>
    <w:rsid w:val="00F020FF"/>
    <w:rsid w:val="00F0259A"/>
    <w:rsid w:val="00F03C56"/>
    <w:rsid w:val="00F1096A"/>
    <w:rsid w:val="00F10DE4"/>
    <w:rsid w:val="00F12306"/>
    <w:rsid w:val="00F13B10"/>
    <w:rsid w:val="00F149B5"/>
    <w:rsid w:val="00F159E1"/>
    <w:rsid w:val="00F16C22"/>
    <w:rsid w:val="00F16D40"/>
    <w:rsid w:val="00F176BA"/>
    <w:rsid w:val="00F1788F"/>
    <w:rsid w:val="00F212F1"/>
    <w:rsid w:val="00F21EFE"/>
    <w:rsid w:val="00F21FAB"/>
    <w:rsid w:val="00F24881"/>
    <w:rsid w:val="00F2535C"/>
    <w:rsid w:val="00F26BDB"/>
    <w:rsid w:val="00F27D70"/>
    <w:rsid w:val="00F30D2D"/>
    <w:rsid w:val="00F31CD5"/>
    <w:rsid w:val="00F3590F"/>
    <w:rsid w:val="00F36C91"/>
    <w:rsid w:val="00F37D89"/>
    <w:rsid w:val="00F40BF1"/>
    <w:rsid w:val="00F4235B"/>
    <w:rsid w:val="00F44AAC"/>
    <w:rsid w:val="00F44D10"/>
    <w:rsid w:val="00F46D02"/>
    <w:rsid w:val="00F474A4"/>
    <w:rsid w:val="00F47758"/>
    <w:rsid w:val="00F500DB"/>
    <w:rsid w:val="00F5010F"/>
    <w:rsid w:val="00F52BFF"/>
    <w:rsid w:val="00F5313D"/>
    <w:rsid w:val="00F54F2A"/>
    <w:rsid w:val="00F55552"/>
    <w:rsid w:val="00F564FE"/>
    <w:rsid w:val="00F56CAB"/>
    <w:rsid w:val="00F57DB3"/>
    <w:rsid w:val="00F6037D"/>
    <w:rsid w:val="00F604BB"/>
    <w:rsid w:val="00F616D8"/>
    <w:rsid w:val="00F6524F"/>
    <w:rsid w:val="00F658BA"/>
    <w:rsid w:val="00F66B99"/>
    <w:rsid w:val="00F66C75"/>
    <w:rsid w:val="00F7020B"/>
    <w:rsid w:val="00F7274A"/>
    <w:rsid w:val="00F73A60"/>
    <w:rsid w:val="00F73D70"/>
    <w:rsid w:val="00F7444E"/>
    <w:rsid w:val="00F74D9A"/>
    <w:rsid w:val="00F75E29"/>
    <w:rsid w:val="00F75E6B"/>
    <w:rsid w:val="00F768B3"/>
    <w:rsid w:val="00F77D4F"/>
    <w:rsid w:val="00F809EA"/>
    <w:rsid w:val="00F80E5A"/>
    <w:rsid w:val="00F8119B"/>
    <w:rsid w:val="00F813C7"/>
    <w:rsid w:val="00F81405"/>
    <w:rsid w:val="00F831F0"/>
    <w:rsid w:val="00F8397D"/>
    <w:rsid w:val="00F84407"/>
    <w:rsid w:val="00F8453B"/>
    <w:rsid w:val="00F852D5"/>
    <w:rsid w:val="00F8603B"/>
    <w:rsid w:val="00F87495"/>
    <w:rsid w:val="00F87965"/>
    <w:rsid w:val="00F87C5E"/>
    <w:rsid w:val="00F90E39"/>
    <w:rsid w:val="00F921AE"/>
    <w:rsid w:val="00F92EFA"/>
    <w:rsid w:val="00F941E5"/>
    <w:rsid w:val="00F96F45"/>
    <w:rsid w:val="00FA21D5"/>
    <w:rsid w:val="00FA2610"/>
    <w:rsid w:val="00FA29A3"/>
    <w:rsid w:val="00FA2CA6"/>
    <w:rsid w:val="00FA3074"/>
    <w:rsid w:val="00FA3888"/>
    <w:rsid w:val="00FA4882"/>
    <w:rsid w:val="00FA5236"/>
    <w:rsid w:val="00FA58D0"/>
    <w:rsid w:val="00FB05FD"/>
    <w:rsid w:val="00FB12E9"/>
    <w:rsid w:val="00FB2BF9"/>
    <w:rsid w:val="00FB3F41"/>
    <w:rsid w:val="00FB5B80"/>
    <w:rsid w:val="00FB5D3D"/>
    <w:rsid w:val="00FC04BA"/>
    <w:rsid w:val="00FC0D7B"/>
    <w:rsid w:val="00FC3E87"/>
    <w:rsid w:val="00FC6E82"/>
    <w:rsid w:val="00FD00B2"/>
    <w:rsid w:val="00FD0AAF"/>
    <w:rsid w:val="00FD0B93"/>
    <w:rsid w:val="00FD0EDC"/>
    <w:rsid w:val="00FD11AA"/>
    <w:rsid w:val="00FD16FB"/>
    <w:rsid w:val="00FD295E"/>
    <w:rsid w:val="00FD65F3"/>
    <w:rsid w:val="00FD75D1"/>
    <w:rsid w:val="00FD7EDC"/>
    <w:rsid w:val="00FE007A"/>
    <w:rsid w:val="00FE0800"/>
    <w:rsid w:val="00FE0E06"/>
    <w:rsid w:val="00FE584D"/>
    <w:rsid w:val="00FE5EFF"/>
    <w:rsid w:val="00FE68D6"/>
    <w:rsid w:val="00FE6DE6"/>
    <w:rsid w:val="00FE7018"/>
    <w:rsid w:val="00FE7076"/>
    <w:rsid w:val="00FF00EB"/>
    <w:rsid w:val="00FF09DE"/>
    <w:rsid w:val="00FF1E6C"/>
    <w:rsid w:val="00FF248D"/>
    <w:rsid w:val="00FF2E1A"/>
    <w:rsid w:val="00FF3CB7"/>
    <w:rsid w:val="00FF521B"/>
    <w:rsid w:val="00FF559E"/>
    <w:rsid w:val="00FF7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6D10E1"/>
  <w15:docId w15:val="{656A17F3-E057-4D37-B6A6-3C8AF9A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BB"/>
    <w:pPr>
      <w:autoSpaceDE w:val="0"/>
      <w:autoSpaceDN w:val="0"/>
      <w:adjustRightInd w:val="0"/>
    </w:pPr>
    <w:rPr>
      <w:rFonts w:ascii="Arial" w:hAnsi="Arial" w:cs="Arial"/>
      <w:sz w:val="22"/>
      <w:szCs w:val="22"/>
    </w:rPr>
  </w:style>
  <w:style w:type="paragraph" w:styleId="Heading1">
    <w:name w:val="heading 1"/>
    <w:basedOn w:val="Normal"/>
    <w:next w:val="Normal"/>
    <w:qFormat/>
    <w:rsid w:val="00B762D6"/>
    <w:pPr>
      <w:widowControl w:val="0"/>
      <w:spacing w:before="208" w:after="32" w:line="280" w:lineRule="atLeast"/>
      <w:outlineLvl w:val="0"/>
    </w:pPr>
    <w:rPr>
      <w:b/>
      <w:bCs/>
      <w:i/>
      <w:kern w:val="32"/>
      <w:sz w:val="21"/>
      <w:szCs w:val="32"/>
    </w:rPr>
  </w:style>
  <w:style w:type="paragraph" w:styleId="Heading2">
    <w:name w:val="heading 2"/>
    <w:basedOn w:val="Normal"/>
    <w:next w:val="Normal"/>
    <w:link w:val="Heading2Char"/>
    <w:qFormat/>
    <w:rsid w:val="00A71AD0"/>
    <w:pPr>
      <w:outlineLvl w:val="1"/>
    </w:pPr>
    <w:rPr>
      <w:b/>
      <w:color w:val="4F81BD" w:themeColor="accent1"/>
    </w:rPr>
  </w:style>
  <w:style w:type="paragraph" w:styleId="Heading3">
    <w:name w:val="heading 3"/>
    <w:basedOn w:val="Normal"/>
    <w:next w:val="Normal"/>
    <w:qFormat/>
    <w:rsid w:val="00B762D6"/>
    <w:pPr>
      <w:keepNext/>
      <w:outlineLvl w:val="2"/>
    </w:pPr>
    <w:rPr>
      <w:b/>
      <w:bCs/>
      <w:lang w:val="en-US"/>
    </w:rPr>
  </w:style>
  <w:style w:type="paragraph" w:styleId="Heading4">
    <w:name w:val="heading 4"/>
    <w:basedOn w:val="Normal"/>
    <w:next w:val="Normal"/>
    <w:link w:val="Heading4Char"/>
    <w:uiPriority w:val="9"/>
    <w:unhideWhenUsed/>
    <w:qFormat/>
    <w:rsid w:val="002E5B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2D6"/>
    <w:pPr>
      <w:tabs>
        <w:tab w:val="center" w:pos="4153"/>
        <w:tab w:val="right" w:pos="8306"/>
      </w:tabs>
    </w:pPr>
  </w:style>
  <w:style w:type="paragraph" w:styleId="Footer">
    <w:name w:val="footer"/>
    <w:basedOn w:val="Normal"/>
    <w:link w:val="FooterChar"/>
    <w:semiHidden/>
    <w:rsid w:val="00B762D6"/>
    <w:pPr>
      <w:tabs>
        <w:tab w:val="center" w:pos="4153"/>
        <w:tab w:val="right" w:pos="8306"/>
      </w:tabs>
    </w:pPr>
  </w:style>
  <w:style w:type="paragraph" w:customStyle="1" w:styleId="spacer">
    <w:name w:val="spacer"/>
    <w:basedOn w:val="Normal"/>
    <w:semiHidden/>
    <w:rsid w:val="00B762D6"/>
    <w:rPr>
      <w:spacing w:val="-2"/>
      <w:sz w:val="4"/>
    </w:rPr>
  </w:style>
  <w:style w:type="paragraph" w:customStyle="1" w:styleId="Form-Title">
    <w:name w:val="Form - Title"/>
    <w:basedOn w:val="Normal"/>
    <w:rsid w:val="00B762D6"/>
    <w:pPr>
      <w:spacing w:line="500" w:lineRule="exact"/>
    </w:pPr>
    <w:rPr>
      <w:i/>
      <w:color w:val="FFFFFF"/>
      <w:sz w:val="50"/>
      <w:szCs w:val="50"/>
    </w:rPr>
  </w:style>
  <w:style w:type="paragraph" w:customStyle="1" w:styleId="Form-Department">
    <w:name w:val="Form - Department"/>
    <w:basedOn w:val="Form-Title"/>
    <w:rsid w:val="00B762D6"/>
    <w:pPr>
      <w:spacing w:line="280" w:lineRule="exact"/>
      <w:ind w:left="57"/>
    </w:pPr>
    <w:rPr>
      <w:sz w:val="30"/>
      <w:szCs w:val="30"/>
    </w:rPr>
  </w:style>
  <w:style w:type="paragraph" w:customStyle="1" w:styleId="PageNum">
    <w:name w:val="Page Num"/>
    <w:basedOn w:val="Normal"/>
    <w:semiHidden/>
    <w:rsid w:val="00B762D6"/>
    <w:rPr>
      <w:color w:val="003478"/>
      <w:spacing w:val="-2"/>
      <w:sz w:val="21"/>
    </w:rPr>
  </w:style>
  <w:style w:type="paragraph" w:customStyle="1" w:styleId="FooterDetails">
    <w:name w:val="Footer Details"/>
    <w:basedOn w:val="Normal"/>
    <w:rsid w:val="00B762D6"/>
    <w:rPr>
      <w:color w:val="003478"/>
      <w:spacing w:val="-6"/>
      <w:sz w:val="21"/>
    </w:rPr>
  </w:style>
  <w:style w:type="paragraph" w:customStyle="1" w:styleId="Summary">
    <w:name w:val="Summary"/>
    <w:basedOn w:val="Normal"/>
    <w:rsid w:val="00B762D6"/>
    <w:pPr>
      <w:spacing w:after="148" w:line="360" w:lineRule="atLeast"/>
    </w:pPr>
    <w:rPr>
      <w:i/>
      <w:spacing w:val="-2"/>
      <w:sz w:val="26"/>
    </w:rPr>
  </w:style>
  <w:style w:type="paragraph" w:styleId="ListBullet">
    <w:name w:val="List Bullet"/>
    <w:basedOn w:val="Normal"/>
    <w:semiHidden/>
    <w:rsid w:val="00B762D6"/>
    <w:pPr>
      <w:numPr>
        <w:numId w:val="1"/>
      </w:numPr>
      <w:tabs>
        <w:tab w:val="num" w:pos="180"/>
      </w:tabs>
      <w:spacing w:after="148" w:line="280" w:lineRule="atLeast"/>
      <w:ind w:left="180" w:right="20" w:hanging="180"/>
    </w:pPr>
    <w:rPr>
      <w:spacing w:val="-2"/>
      <w:sz w:val="21"/>
    </w:rPr>
  </w:style>
  <w:style w:type="paragraph" w:styleId="BodyText">
    <w:name w:val="Body Text"/>
    <w:basedOn w:val="Normal"/>
    <w:semiHidden/>
    <w:rsid w:val="00B762D6"/>
    <w:pPr>
      <w:spacing w:after="148" w:line="280" w:lineRule="atLeast"/>
    </w:pPr>
    <w:rPr>
      <w:sz w:val="21"/>
    </w:rPr>
  </w:style>
  <w:style w:type="paragraph" w:customStyle="1" w:styleId="body">
    <w:name w:val="body"/>
    <w:basedOn w:val="Normal"/>
    <w:rsid w:val="00B762D6"/>
    <w:pPr>
      <w:suppressAutoHyphens/>
    </w:pPr>
    <w:rPr>
      <w:sz w:val="20"/>
      <w:lang w:eastAsia="ar-SA"/>
    </w:rPr>
  </w:style>
  <w:style w:type="paragraph" w:styleId="BalloonText">
    <w:name w:val="Balloon Text"/>
    <w:basedOn w:val="Normal"/>
    <w:rsid w:val="00B762D6"/>
    <w:pPr>
      <w:suppressAutoHyphens/>
    </w:pPr>
    <w:rPr>
      <w:rFonts w:ascii="Tahoma" w:hAnsi="Tahoma" w:cs="Tahoma"/>
      <w:sz w:val="16"/>
      <w:szCs w:val="16"/>
      <w:lang w:eastAsia="ar-SA"/>
    </w:rPr>
  </w:style>
  <w:style w:type="paragraph" w:styleId="CommentSubject">
    <w:name w:val="annotation subject"/>
    <w:basedOn w:val="CommentText"/>
    <w:next w:val="CommentText"/>
    <w:semiHidden/>
    <w:rsid w:val="00B762D6"/>
    <w:rPr>
      <w:b/>
      <w:bCs/>
    </w:rPr>
  </w:style>
  <w:style w:type="paragraph" w:styleId="CommentText">
    <w:name w:val="annotation text"/>
    <w:basedOn w:val="Normal"/>
    <w:link w:val="CommentTextChar"/>
    <w:uiPriority w:val="99"/>
    <w:semiHidden/>
    <w:rsid w:val="00B762D6"/>
    <w:pPr>
      <w:suppressAutoHyphens/>
    </w:pPr>
    <w:rPr>
      <w:sz w:val="20"/>
      <w:szCs w:val="20"/>
      <w:lang w:eastAsia="ar-SA"/>
    </w:rPr>
  </w:style>
  <w:style w:type="paragraph" w:customStyle="1" w:styleId="msolistparagraph0">
    <w:name w:val="msolistparagraph"/>
    <w:basedOn w:val="Normal"/>
    <w:rsid w:val="00B762D6"/>
    <w:pPr>
      <w:ind w:left="720"/>
    </w:pPr>
    <w:rPr>
      <w:rFonts w:ascii="Calibri" w:eastAsia="Calibri" w:hAnsi="Calibri"/>
    </w:rPr>
  </w:style>
  <w:style w:type="character" w:styleId="Hyperlink">
    <w:name w:val="Hyperlink"/>
    <w:basedOn w:val="DefaultParagraphFont"/>
    <w:uiPriority w:val="99"/>
    <w:rsid w:val="00B762D6"/>
    <w:rPr>
      <w:color w:val="0000FF"/>
      <w:u w:val="single"/>
    </w:rPr>
  </w:style>
  <w:style w:type="paragraph" w:styleId="List">
    <w:name w:val="List"/>
    <w:basedOn w:val="BodyText"/>
    <w:semiHidden/>
    <w:rsid w:val="00B762D6"/>
    <w:pPr>
      <w:suppressAutoHyphens/>
      <w:spacing w:after="0" w:line="240" w:lineRule="auto"/>
    </w:pPr>
    <w:rPr>
      <w:rFonts w:ascii="BAKCCM+Arial" w:hAnsi="BAKCCM+Arial" w:cs="Tahoma"/>
      <w:sz w:val="24"/>
      <w:lang w:val="en-US" w:eastAsia="ar-SA"/>
    </w:rPr>
  </w:style>
  <w:style w:type="paragraph" w:styleId="NormalWeb">
    <w:name w:val="Normal (Web)"/>
    <w:basedOn w:val="Normal"/>
    <w:uiPriority w:val="99"/>
    <w:semiHidden/>
    <w:rsid w:val="00B762D6"/>
    <w:pPr>
      <w:suppressAutoHyphens/>
      <w:spacing w:before="100" w:after="100"/>
    </w:pPr>
    <w:rPr>
      <w:lang w:eastAsia="ar-SA"/>
    </w:rPr>
  </w:style>
  <w:style w:type="paragraph" w:styleId="BodyText2">
    <w:name w:val="Body Text 2"/>
    <w:basedOn w:val="Normal"/>
    <w:semiHidden/>
    <w:rsid w:val="00B762D6"/>
    <w:pPr>
      <w:suppressAutoHyphens/>
    </w:pPr>
    <w:rPr>
      <w:lang w:eastAsia="ar-SA"/>
    </w:rPr>
  </w:style>
  <w:style w:type="character" w:styleId="FootnoteReference">
    <w:name w:val="footnote reference"/>
    <w:basedOn w:val="DefaultParagraphFont"/>
    <w:uiPriority w:val="99"/>
    <w:rsid w:val="00B762D6"/>
    <w:rPr>
      <w:vertAlign w:val="superscript"/>
    </w:rPr>
  </w:style>
  <w:style w:type="paragraph" w:styleId="FootnoteText">
    <w:name w:val="footnote text"/>
    <w:basedOn w:val="Normal"/>
    <w:link w:val="FootnoteTextChar"/>
    <w:uiPriority w:val="99"/>
    <w:semiHidden/>
    <w:rsid w:val="00B762D6"/>
    <w:pPr>
      <w:suppressAutoHyphens/>
    </w:pPr>
    <w:rPr>
      <w:sz w:val="20"/>
      <w:szCs w:val="20"/>
      <w:lang w:eastAsia="ar-SA"/>
    </w:rPr>
  </w:style>
  <w:style w:type="paragraph" w:styleId="Caption">
    <w:name w:val="caption"/>
    <w:basedOn w:val="Normal"/>
    <w:next w:val="Normal"/>
    <w:qFormat/>
    <w:rsid w:val="00B762D6"/>
    <w:rPr>
      <w:b/>
      <w:color w:val="333399"/>
      <w:sz w:val="38"/>
    </w:rPr>
  </w:style>
  <w:style w:type="character" w:styleId="FollowedHyperlink">
    <w:name w:val="FollowedHyperlink"/>
    <w:basedOn w:val="DefaultParagraphFont"/>
    <w:semiHidden/>
    <w:rsid w:val="00B762D6"/>
    <w:rPr>
      <w:color w:val="800080"/>
      <w:u w:val="single"/>
    </w:rPr>
  </w:style>
  <w:style w:type="character" w:customStyle="1" w:styleId="Heading2Char">
    <w:name w:val="Heading 2 Char"/>
    <w:basedOn w:val="DefaultParagraphFont"/>
    <w:link w:val="Heading2"/>
    <w:rsid w:val="00A71AD0"/>
    <w:rPr>
      <w:rFonts w:ascii="Arial" w:hAnsi="Arial" w:cs="Arial"/>
      <w:b/>
      <w:color w:val="4F81BD" w:themeColor="accent1"/>
      <w:sz w:val="24"/>
      <w:szCs w:val="24"/>
      <w:lang w:eastAsia="en-US"/>
    </w:rPr>
  </w:style>
  <w:style w:type="character" w:customStyle="1" w:styleId="FootnoteTextChar">
    <w:name w:val="Footnote Text Char"/>
    <w:basedOn w:val="DefaultParagraphFont"/>
    <w:link w:val="FootnoteText"/>
    <w:uiPriority w:val="99"/>
    <w:semiHidden/>
    <w:rsid w:val="00A559F6"/>
    <w:rPr>
      <w:lang w:eastAsia="ar-SA"/>
    </w:rPr>
  </w:style>
  <w:style w:type="paragraph" w:styleId="ListParagraph">
    <w:name w:val="List Paragraph"/>
    <w:aliases w:val="Recommendation,List Paragraph1,Bulleted Para,NFP GP Bulleted List,bullet point list,List Paragraph11,L,Bullet points,Content descriptions,Bullet Point"/>
    <w:basedOn w:val="Normal"/>
    <w:link w:val="ListParagraphChar"/>
    <w:uiPriority w:val="34"/>
    <w:qFormat/>
    <w:rsid w:val="004671ED"/>
    <w:pPr>
      <w:ind w:left="720"/>
      <w:contextualSpacing/>
    </w:pPr>
  </w:style>
  <w:style w:type="paragraph" w:styleId="PlainText">
    <w:name w:val="Plain Text"/>
    <w:basedOn w:val="Normal"/>
    <w:link w:val="PlainTextChar"/>
    <w:uiPriority w:val="99"/>
    <w:semiHidden/>
    <w:unhideWhenUsed/>
    <w:rsid w:val="00CE7C9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E7C9D"/>
    <w:rPr>
      <w:rFonts w:ascii="Consolas" w:eastAsiaTheme="minorHAnsi" w:hAnsi="Consolas" w:cstheme="minorBidi"/>
      <w:sz w:val="21"/>
      <w:szCs w:val="21"/>
      <w:lang w:eastAsia="en-US"/>
    </w:rPr>
  </w:style>
  <w:style w:type="paragraph" w:styleId="NoSpacing">
    <w:name w:val="No Spacing"/>
    <w:uiPriority w:val="1"/>
    <w:qFormat/>
    <w:rsid w:val="004F7E78"/>
    <w:rPr>
      <w:rFonts w:ascii="Calibri" w:eastAsia="Calibri" w:hAnsi="Calibri"/>
      <w:sz w:val="22"/>
      <w:szCs w:val="22"/>
      <w:lang w:eastAsia="en-US"/>
    </w:rPr>
  </w:style>
  <w:style w:type="character" w:customStyle="1" w:styleId="HeaderChar">
    <w:name w:val="Header Char"/>
    <w:basedOn w:val="DefaultParagraphFont"/>
    <w:link w:val="Header"/>
    <w:rsid w:val="00473BEB"/>
    <w:rPr>
      <w:sz w:val="24"/>
      <w:szCs w:val="24"/>
      <w:lang w:eastAsia="en-US"/>
    </w:rPr>
  </w:style>
  <w:style w:type="paragraph" w:customStyle="1" w:styleId="Default">
    <w:name w:val="Default"/>
    <w:rsid w:val="00AE30FC"/>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66"/>
    <w:rsid w:val="00EC04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b/>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9">
    <w:name w:val="A9"/>
    <w:uiPriority w:val="99"/>
    <w:rsid w:val="001C509A"/>
    <w:rPr>
      <w:rFonts w:cs="Humanist 52 1 BT"/>
      <w:color w:val="000000"/>
      <w:sz w:val="16"/>
      <w:szCs w:val="16"/>
    </w:rPr>
  </w:style>
  <w:style w:type="paragraph" w:customStyle="1" w:styleId="RACQbodycopy">
    <w:name w:val="RACQ body copy"/>
    <w:basedOn w:val="Normal"/>
    <w:rsid w:val="006203EE"/>
  </w:style>
  <w:style w:type="paragraph" w:customStyle="1" w:styleId="Style2">
    <w:name w:val="Style 2"/>
    <w:rsid w:val="001E235C"/>
    <w:pPr>
      <w:widowControl w:val="0"/>
    </w:pPr>
    <w:rPr>
      <w:rFonts w:ascii="Arial" w:eastAsia="ヒラギノ角ゴ Pro W3" w:hAnsi="Arial"/>
      <w:color w:val="000000"/>
      <w:sz w:val="22"/>
      <w:lang w:val="en-US"/>
    </w:rPr>
  </w:style>
  <w:style w:type="character" w:customStyle="1" w:styleId="UnresolvedMention1">
    <w:name w:val="Unresolved Mention1"/>
    <w:basedOn w:val="DefaultParagraphFont"/>
    <w:uiPriority w:val="99"/>
    <w:semiHidden/>
    <w:unhideWhenUsed/>
    <w:rsid w:val="00F54F2A"/>
    <w:rPr>
      <w:color w:val="808080"/>
      <w:shd w:val="clear" w:color="auto" w:fill="E6E6E6"/>
    </w:rPr>
  </w:style>
  <w:style w:type="character" w:customStyle="1" w:styleId="ListParagraphChar">
    <w:name w:val="List Paragraph Char"/>
    <w:aliases w:val="Recommendation Char,List Paragraph1 Char,Bulleted Para Char,NFP GP Bulleted List Char,bullet point list Char,List Paragraph11 Char,L Char,Bullet points Char,Content descriptions Char,Bullet Point Char"/>
    <w:basedOn w:val="DefaultParagraphFont"/>
    <w:link w:val="ListParagraph"/>
    <w:uiPriority w:val="34"/>
    <w:locked/>
    <w:rsid w:val="0043021C"/>
    <w:rPr>
      <w:sz w:val="24"/>
      <w:szCs w:val="24"/>
      <w:lang w:eastAsia="en-US"/>
    </w:rPr>
  </w:style>
  <w:style w:type="character" w:customStyle="1" w:styleId="FooterChar">
    <w:name w:val="Footer Char"/>
    <w:basedOn w:val="DefaultParagraphFont"/>
    <w:link w:val="Footer"/>
    <w:semiHidden/>
    <w:rsid w:val="007E70CC"/>
    <w:rPr>
      <w:sz w:val="24"/>
      <w:szCs w:val="24"/>
      <w:lang w:eastAsia="en-US"/>
    </w:rPr>
  </w:style>
  <w:style w:type="character" w:customStyle="1" w:styleId="Heading4Char">
    <w:name w:val="Heading 4 Char"/>
    <w:basedOn w:val="DefaultParagraphFont"/>
    <w:link w:val="Heading4"/>
    <w:uiPriority w:val="9"/>
    <w:rsid w:val="002E5B15"/>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916CA9"/>
    <w:rPr>
      <w:sz w:val="16"/>
      <w:szCs w:val="16"/>
    </w:rPr>
  </w:style>
  <w:style w:type="character" w:customStyle="1" w:styleId="UnresolvedMention2">
    <w:name w:val="Unresolved Mention2"/>
    <w:basedOn w:val="DefaultParagraphFont"/>
    <w:uiPriority w:val="99"/>
    <w:semiHidden/>
    <w:unhideWhenUsed/>
    <w:rsid w:val="00CE1A3C"/>
    <w:rPr>
      <w:color w:val="605E5C"/>
      <w:shd w:val="clear" w:color="auto" w:fill="E1DFDD"/>
    </w:rPr>
  </w:style>
  <w:style w:type="table" w:styleId="TableGrid">
    <w:name w:val="Table Grid"/>
    <w:basedOn w:val="TableNormal"/>
    <w:uiPriority w:val="59"/>
    <w:rsid w:val="00BC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EE2B7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ittext">
    <w:name w:val="hittext"/>
    <w:basedOn w:val="DefaultParagraphFont"/>
    <w:rsid w:val="0037439D"/>
  </w:style>
  <w:style w:type="character" w:customStyle="1" w:styleId="listnumber">
    <w:name w:val="listnumber"/>
    <w:basedOn w:val="DefaultParagraphFont"/>
    <w:rsid w:val="0037439D"/>
  </w:style>
  <w:style w:type="paragraph" w:customStyle="1" w:styleId="xmsolistparagraph">
    <w:name w:val="x_msolistparagraph"/>
    <w:basedOn w:val="Normal"/>
    <w:rsid w:val="00403269"/>
    <w:pPr>
      <w:autoSpaceDE/>
      <w:autoSpaceDN/>
      <w:adjustRightInd/>
      <w:ind w:left="720"/>
    </w:pPr>
    <w:rPr>
      <w:rFonts w:ascii="Calibri" w:eastAsiaTheme="minorHAnsi" w:hAnsi="Calibri" w:cs="Calibri"/>
    </w:rPr>
  </w:style>
  <w:style w:type="character" w:customStyle="1" w:styleId="CommentTextChar">
    <w:name w:val="Comment Text Char"/>
    <w:basedOn w:val="DefaultParagraphFont"/>
    <w:link w:val="CommentText"/>
    <w:uiPriority w:val="99"/>
    <w:semiHidden/>
    <w:rsid w:val="00403269"/>
    <w:rPr>
      <w:rFonts w:ascii="Arial" w:hAnsi="Arial" w:cs="Arial"/>
      <w:lang w:eastAsia="ar-SA"/>
    </w:rPr>
  </w:style>
  <w:style w:type="character" w:styleId="IntenseEmphasis">
    <w:name w:val="Intense Emphasis"/>
    <w:basedOn w:val="DefaultParagraphFont"/>
    <w:uiPriority w:val="21"/>
    <w:qFormat/>
    <w:rsid w:val="00403269"/>
    <w:rPr>
      <w:i/>
      <w:iCs/>
      <w:color w:val="4F81BD" w:themeColor="accent1"/>
    </w:rPr>
  </w:style>
  <w:style w:type="character" w:customStyle="1" w:styleId="fontstyle01">
    <w:name w:val="fontstyle01"/>
    <w:basedOn w:val="DefaultParagraphFont"/>
    <w:rsid w:val="00295D9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4145">
      <w:bodyDiv w:val="1"/>
      <w:marLeft w:val="0"/>
      <w:marRight w:val="0"/>
      <w:marTop w:val="0"/>
      <w:marBottom w:val="0"/>
      <w:divBdr>
        <w:top w:val="none" w:sz="0" w:space="0" w:color="auto"/>
        <w:left w:val="none" w:sz="0" w:space="0" w:color="auto"/>
        <w:bottom w:val="none" w:sz="0" w:space="0" w:color="auto"/>
        <w:right w:val="none" w:sz="0" w:space="0" w:color="auto"/>
      </w:divBdr>
      <w:divsChild>
        <w:div w:id="948395932">
          <w:marLeft w:val="547"/>
          <w:marRight w:val="0"/>
          <w:marTop w:val="0"/>
          <w:marBottom w:val="0"/>
          <w:divBdr>
            <w:top w:val="none" w:sz="0" w:space="0" w:color="auto"/>
            <w:left w:val="none" w:sz="0" w:space="0" w:color="auto"/>
            <w:bottom w:val="none" w:sz="0" w:space="0" w:color="auto"/>
            <w:right w:val="none" w:sz="0" w:space="0" w:color="auto"/>
          </w:divBdr>
        </w:div>
      </w:divsChild>
    </w:div>
    <w:div w:id="44958858">
      <w:bodyDiv w:val="1"/>
      <w:marLeft w:val="0"/>
      <w:marRight w:val="0"/>
      <w:marTop w:val="0"/>
      <w:marBottom w:val="0"/>
      <w:divBdr>
        <w:top w:val="none" w:sz="0" w:space="0" w:color="auto"/>
        <w:left w:val="none" w:sz="0" w:space="0" w:color="auto"/>
        <w:bottom w:val="none" w:sz="0" w:space="0" w:color="auto"/>
        <w:right w:val="none" w:sz="0" w:space="0" w:color="auto"/>
      </w:divBdr>
      <w:divsChild>
        <w:div w:id="978845698">
          <w:marLeft w:val="1166"/>
          <w:marRight w:val="0"/>
          <w:marTop w:val="67"/>
          <w:marBottom w:val="120"/>
          <w:divBdr>
            <w:top w:val="none" w:sz="0" w:space="0" w:color="auto"/>
            <w:left w:val="none" w:sz="0" w:space="0" w:color="auto"/>
            <w:bottom w:val="none" w:sz="0" w:space="0" w:color="auto"/>
            <w:right w:val="none" w:sz="0" w:space="0" w:color="auto"/>
          </w:divBdr>
        </w:div>
        <w:div w:id="261651414">
          <w:marLeft w:val="1166"/>
          <w:marRight w:val="0"/>
          <w:marTop w:val="67"/>
          <w:marBottom w:val="120"/>
          <w:divBdr>
            <w:top w:val="none" w:sz="0" w:space="0" w:color="auto"/>
            <w:left w:val="none" w:sz="0" w:space="0" w:color="auto"/>
            <w:bottom w:val="none" w:sz="0" w:space="0" w:color="auto"/>
            <w:right w:val="none" w:sz="0" w:space="0" w:color="auto"/>
          </w:divBdr>
        </w:div>
        <w:div w:id="639383305">
          <w:marLeft w:val="1166"/>
          <w:marRight w:val="0"/>
          <w:marTop w:val="67"/>
          <w:marBottom w:val="120"/>
          <w:divBdr>
            <w:top w:val="none" w:sz="0" w:space="0" w:color="auto"/>
            <w:left w:val="none" w:sz="0" w:space="0" w:color="auto"/>
            <w:bottom w:val="none" w:sz="0" w:space="0" w:color="auto"/>
            <w:right w:val="none" w:sz="0" w:space="0" w:color="auto"/>
          </w:divBdr>
        </w:div>
        <w:div w:id="1074813978">
          <w:marLeft w:val="1166"/>
          <w:marRight w:val="0"/>
          <w:marTop w:val="67"/>
          <w:marBottom w:val="120"/>
          <w:divBdr>
            <w:top w:val="none" w:sz="0" w:space="0" w:color="auto"/>
            <w:left w:val="none" w:sz="0" w:space="0" w:color="auto"/>
            <w:bottom w:val="none" w:sz="0" w:space="0" w:color="auto"/>
            <w:right w:val="none" w:sz="0" w:space="0" w:color="auto"/>
          </w:divBdr>
        </w:div>
        <w:div w:id="1766609501">
          <w:marLeft w:val="1166"/>
          <w:marRight w:val="0"/>
          <w:marTop w:val="67"/>
          <w:marBottom w:val="120"/>
          <w:divBdr>
            <w:top w:val="none" w:sz="0" w:space="0" w:color="auto"/>
            <w:left w:val="none" w:sz="0" w:space="0" w:color="auto"/>
            <w:bottom w:val="none" w:sz="0" w:space="0" w:color="auto"/>
            <w:right w:val="none" w:sz="0" w:space="0" w:color="auto"/>
          </w:divBdr>
        </w:div>
        <w:div w:id="1603225545">
          <w:marLeft w:val="1166"/>
          <w:marRight w:val="0"/>
          <w:marTop w:val="67"/>
          <w:marBottom w:val="120"/>
          <w:divBdr>
            <w:top w:val="none" w:sz="0" w:space="0" w:color="auto"/>
            <w:left w:val="none" w:sz="0" w:space="0" w:color="auto"/>
            <w:bottom w:val="none" w:sz="0" w:space="0" w:color="auto"/>
            <w:right w:val="none" w:sz="0" w:space="0" w:color="auto"/>
          </w:divBdr>
        </w:div>
      </w:divsChild>
    </w:div>
    <w:div w:id="67920279">
      <w:bodyDiv w:val="1"/>
      <w:marLeft w:val="0"/>
      <w:marRight w:val="0"/>
      <w:marTop w:val="0"/>
      <w:marBottom w:val="0"/>
      <w:divBdr>
        <w:top w:val="none" w:sz="0" w:space="0" w:color="auto"/>
        <w:left w:val="none" w:sz="0" w:space="0" w:color="auto"/>
        <w:bottom w:val="none" w:sz="0" w:space="0" w:color="auto"/>
        <w:right w:val="none" w:sz="0" w:space="0" w:color="auto"/>
      </w:divBdr>
    </w:div>
    <w:div w:id="100154323">
      <w:bodyDiv w:val="1"/>
      <w:marLeft w:val="0"/>
      <w:marRight w:val="0"/>
      <w:marTop w:val="0"/>
      <w:marBottom w:val="0"/>
      <w:divBdr>
        <w:top w:val="none" w:sz="0" w:space="0" w:color="auto"/>
        <w:left w:val="none" w:sz="0" w:space="0" w:color="auto"/>
        <w:bottom w:val="none" w:sz="0" w:space="0" w:color="auto"/>
        <w:right w:val="none" w:sz="0" w:space="0" w:color="auto"/>
      </w:divBdr>
      <w:divsChild>
        <w:div w:id="979261173">
          <w:marLeft w:val="547"/>
          <w:marRight w:val="0"/>
          <w:marTop w:val="0"/>
          <w:marBottom w:val="0"/>
          <w:divBdr>
            <w:top w:val="none" w:sz="0" w:space="0" w:color="auto"/>
            <w:left w:val="none" w:sz="0" w:space="0" w:color="auto"/>
            <w:bottom w:val="none" w:sz="0" w:space="0" w:color="auto"/>
            <w:right w:val="none" w:sz="0" w:space="0" w:color="auto"/>
          </w:divBdr>
        </w:div>
      </w:divsChild>
    </w:div>
    <w:div w:id="123087778">
      <w:bodyDiv w:val="1"/>
      <w:marLeft w:val="0"/>
      <w:marRight w:val="0"/>
      <w:marTop w:val="0"/>
      <w:marBottom w:val="0"/>
      <w:divBdr>
        <w:top w:val="none" w:sz="0" w:space="0" w:color="auto"/>
        <w:left w:val="none" w:sz="0" w:space="0" w:color="auto"/>
        <w:bottom w:val="none" w:sz="0" w:space="0" w:color="auto"/>
        <w:right w:val="none" w:sz="0" w:space="0" w:color="auto"/>
      </w:divBdr>
      <w:divsChild>
        <w:div w:id="646403375">
          <w:marLeft w:val="547"/>
          <w:marRight w:val="0"/>
          <w:marTop w:val="0"/>
          <w:marBottom w:val="0"/>
          <w:divBdr>
            <w:top w:val="none" w:sz="0" w:space="0" w:color="auto"/>
            <w:left w:val="none" w:sz="0" w:space="0" w:color="auto"/>
            <w:bottom w:val="none" w:sz="0" w:space="0" w:color="auto"/>
            <w:right w:val="none" w:sz="0" w:space="0" w:color="auto"/>
          </w:divBdr>
        </w:div>
      </w:divsChild>
    </w:div>
    <w:div w:id="270624942">
      <w:bodyDiv w:val="1"/>
      <w:marLeft w:val="0"/>
      <w:marRight w:val="0"/>
      <w:marTop w:val="0"/>
      <w:marBottom w:val="0"/>
      <w:divBdr>
        <w:top w:val="none" w:sz="0" w:space="0" w:color="auto"/>
        <w:left w:val="none" w:sz="0" w:space="0" w:color="auto"/>
        <w:bottom w:val="none" w:sz="0" w:space="0" w:color="auto"/>
        <w:right w:val="none" w:sz="0" w:space="0" w:color="auto"/>
      </w:divBdr>
    </w:div>
    <w:div w:id="353504682">
      <w:bodyDiv w:val="1"/>
      <w:marLeft w:val="0"/>
      <w:marRight w:val="0"/>
      <w:marTop w:val="0"/>
      <w:marBottom w:val="0"/>
      <w:divBdr>
        <w:top w:val="none" w:sz="0" w:space="0" w:color="auto"/>
        <w:left w:val="none" w:sz="0" w:space="0" w:color="auto"/>
        <w:bottom w:val="none" w:sz="0" w:space="0" w:color="auto"/>
        <w:right w:val="none" w:sz="0" w:space="0" w:color="auto"/>
      </w:divBdr>
      <w:divsChild>
        <w:div w:id="1804301017">
          <w:marLeft w:val="446"/>
          <w:marRight w:val="0"/>
          <w:marTop w:val="0"/>
          <w:marBottom w:val="0"/>
          <w:divBdr>
            <w:top w:val="none" w:sz="0" w:space="0" w:color="auto"/>
            <w:left w:val="none" w:sz="0" w:space="0" w:color="auto"/>
            <w:bottom w:val="none" w:sz="0" w:space="0" w:color="auto"/>
            <w:right w:val="none" w:sz="0" w:space="0" w:color="auto"/>
          </w:divBdr>
        </w:div>
      </w:divsChild>
    </w:div>
    <w:div w:id="362288092">
      <w:bodyDiv w:val="1"/>
      <w:marLeft w:val="0"/>
      <w:marRight w:val="0"/>
      <w:marTop w:val="0"/>
      <w:marBottom w:val="0"/>
      <w:divBdr>
        <w:top w:val="none" w:sz="0" w:space="0" w:color="auto"/>
        <w:left w:val="none" w:sz="0" w:space="0" w:color="auto"/>
        <w:bottom w:val="none" w:sz="0" w:space="0" w:color="auto"/>
        <w:right w:val="none" w:sz="0" w:space="0" w:color="auto"/>
      </w:divBdr>
      <w:divsChild>
        <w:div w:id="645623757">
          <w:marLeft w:val="547"/>
          <w:marRight w:val="0"/>
          <w:marTop w:val="120"/>
          <w:marBottom w:val="120"/>
          <w:divBdr>
            <w:top w:val="none" w:sz="0" w:space="0" w:color="auto"/>
            <w:left w:val="none" w:sz="0" w:space="0" w:color="auto"/>
            <w:bottom w:val="none" w:sz="0" w:space="0" w:color="auto"/>
            <w:right w:val="none" w:sz="0" w:space="0" w:color="auto"/>
          </w:divBdr>
        </w:div>
        <w:div w:id="649095805">
          <w:marLeft w:val="547"/>
          <w:marRight w:val="0"/>
          <w:marTop w:val="120"/>
          <w:marBottom w:val="120"/>
          <w:divBdr>
            <w:top w:val="none" w:sz="0" w:space="0" w:color="auto"/>
            <w:left w:val="none" w:sz="0" w:space="0" w:color="auto"/>
            <w:bottom w:val="none" w:sz="0" w:space="0" w:color="auto"/>
            <w:right w:val="none" w:sz="0" w:space="0" w:color="auto"/>
          </w:divBdr>
        </w:div>
        <w:div w:id="1396665088">
          <w:marLeft w:val="547"/>
          <w:marRight w:val="0"/>
          <w:marTop w:val="120"/>
          <w:marBottom w:val="120"/>
          <w:divBdr>
            <w:top w:val="none" w:sz="0" w:space="0" w:color="auto"/>
            <w:left w:val="none" w:sz="0" w:space="0" w:color="auto"/>
            <w:bottom w:val="none" w:sz="0" w:space="0" w:color="auto"/>
            <w:right w:val="none" w:sz="0" w:space="0" w:color="auto"/>
          </w:divBdr>
        </w:div>
        <w:div w:id="330911080">
          <w:marLeft w:val="547"/>
          <w:marRight w:val="0"/>
          <w:marTop w:val="120"/>
          <w:marBottom w:val="120"/>
          <w:divBdr>
            <w:top w:val="none" w:sz="0" w:space="0" w:color="auto"/>
            <w:left w:val="none" w:sz="0" w:space="0" w:color="auto"/>
            <w:bottom w:val="none" w:sz="0" w:space="0" w:color="auto"/>
            <w:right w:val="none" w:sz="0" w:space="0" w:color="auto"/>
          </w:divBdr>
        </w:div>
        <w:div w:id="496313809">
          <w:marLeft w:val="547"/>
          <w:marRight w:val="0"/>
          <w:marTop w:val="120"/>
          <w:marBottom w:val="120"/>
          <w:divBdr>
            <w:top w:val="none" w:sz="0" w:space="0" w:color="auto"/>
            <w:left w:val="none" w:sz="0" w:space="0" w:color="auto"/>
            <w:bottom w:val="none" w:sz="0" w:space="0" w:color="auto"/>
            <w:right w:val="none" w:sz="0" w:space="0" w:color="auto"/>
          </w:divBdr>
        </w:div>
        <w:div w:id="1516142308">
          <w:marLeft w:val="547"/>
          <w:marRight w:val="0"/>
          <w:marTop w:val="120"/>
          <w:marBottom w:val="120"/>
          <w:divBdr>
            <w:top w:val="none" w:sz="0" w:space="0" w:color="auto"/>
            <w:left w:val="none" w:sz="0" w:space="0" w:color="auto"/>
            <w:bottom w:val="none" w:sz="0" w:space="0" w:color="auto"/>
            <w:right w:val="none" w:sz="0" w:space="0" w:color="auto"/>
          </w:divBdr>
        </w:div>
        <w:div w:id="560749792">
          <w:marLeft w:val="547"/>
          <w:marRight w:val="0"/>
          <w:marTop w:val="120"/>
          <w:marBottom w:val="120"/>
          <w:divBdr>
            <w:top w:val="none" w:sz="0" w:space="0" w:color="auto"/>
            <w:left w:val="none" w:sz="0" w:space="0" w:color="auto"/>
            <w:bottom w:val="none" w:sz="0" w:space="0" w:color="auto"/>
            <w:right w:val="none" w:sz="0" w:space="0" w:color="auto"/>
          </w:divBdr>
        </w:div>
        <w:div w:id="347365447">
          <w:marLeft w:val="547"/>
          <w:marRight w:val="0"/>
          <w:marTop w:val="0"/>
          <w:marBottom w:val="0"/>
          <w:divBdr>
            <w:top w:val="none" w:sz="0" w:space="0" w:color="auto"/>
            <w:left w:val="none" w:sz="0" w:space="0" w:color="auto"/>
            <w:bottom w:val="none" w:sz="0" w:space="0" w:color="auto"/>
            <w:right w:val="none" w:sz="0" w:space="0" w:color="auto"/>
          </w:divBdr>
        </w:div>
      </w:divsChild>
    </w:div>
    <w:div w:id="379980695">
      <w:bodyDiv w:val="1"/>
      <w:marLeft w:val="0"/>
      <w:marRight w:val="0"/>
      <w:marTop w:val="0"/>
      <w:marBottom w:val="0"/>
      <w:divBdr>
        <w:top w:val="none" w:sz="0" w:space="0" w:color="auto"/>
        <w:left w:val="none" w:sz="0" w:space="0" w:color="auto"/>
        <w:bottom w:val="none" w:sz="0" w:space="0" w:color="auto"/>
        <w:right w:val="none" w:sz="0" w:space="0" w:color="auto"/>
      </w:divBdr>
      <w:divsChild>
        <w:div w:id="1606502812">
          <w:marLeft w:val="547"/>
          <w:marRight w:val="0"/>
          <w:marTop w:val="0"/>
          <w:marBottom w:val="0"/>
          <w:divBdr>
            <w:top w:val="none" w:sz="0" w:space="0" w:color="auto"/>
            <w:left w:val="none" w:sz="0" w:space="0" w:color="auto"/>
            <w:bottom w:val="none" w:sz="0" w:space="0" w:color="auto"/>
            <w:right w:val="none" w:sz="0" w:space="0" w:color="auto"/>
          </w:divBdr>
        </w:div>
      </w:divsChild>
    </w:div>
    <w:div w:id="429787177">
      <w:bodyDiv w:val="1"/>
      <w:marLeft w:val="0"/>
      <w:marRight w:val="0"/>
      <w:marTop w:val="0"/>
      <w:marBottom w:val="0"/>
      <w:divBdr>
        <w:top w:val="none" w:sz="0" w:space="0" w:color="auto"/>
        <w:left w:val="none" w:sz="0" w:space="0" w:color="auto"/>
        <w:bottom w:val="none" w:sz="0" w:space="0" w:color="auto"/>
        <w:right w:val="none" w:sz="0" w:space="0" w:color="auto"/>
      </w:divBdr>
    </w:div>
    <w:div w:id="451553599">
      <w:bodyDiv w:val="1"/>
      <w:marLeft w:val="0"/>
      <w:marRight w:val="0"/>
      <w:marTop w:val="0"/>
      <w:marBottom w:val="0"/>
      <w:divBdr>
        <w:top w:val="none" w:sz="0" w:space="0" w:color="auto"/>
        <w:left w:val="none" w:sz="0" w:space="0" w:color="auto"/>
        <w:bottom w:val="none" w:sz="0" w:space="0" w:color="auto"/>
        <w:right w:val="none" w:sz="0" w:space="0" w:color="auto"/>
      </w:divBdr>
      <w:divsChild>
        <w:div w:id="1590967504">
          <w:blockQuote w:val="1"/>
          <w:marLeft w:val="600"/>
          <w:marRight w:val="0"/>
          <w:marTop w:val="120"/>
          <w:marBottom w:val="120"/>
          <w:divBdr>
            <w:top w:val="none" w:sz="0" w:space="0" w:color="auto"/>
            <w:left w:val="none" w:sz="0" w:space="0" w:color="auto"/>
            <w:bottom w:val="none" w:sz="0" w:space="0" w:color="auto"/>
            <w:right w:val="none" w:sz="0" w:space="0" w:color="auto"/>
          </w:divBdr>
        </w:div>
        <w:div w:id="461773820">
          <w:blockQuote w:val="1"/>
          <w:marLeft w:val="600"/>
          <w:marRight w:val="0"/>
          <w:marTop w:val="120"/>
          <w:marBottom w:val="120"/>
          <w:divBdr>
            <w:top w:val="none" w:sz="0" w:space="0" w:color="auto"/>
            <w:left w:val="none" w:sz="0" w:space="0" w:color="auto"/>
            <w:bottom w:val="none" w:sz="0" w:space="0" w:color="auto"/>
            <w:right w:val="none" w:sz="0" w:space="0" w:color="auto"/>
          </w:divBdr>
        </w:div>
        <w:div w:id="6371525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2361466">
      <w:bodyDiv w:val="1"/>
      <w:marLeft w:val="0"/>
      <w:marRight w:val="0"/>
      <w:marTop w:val="0"/>
      <w:marBottom w:val="0"/>
      <w:divBdr>
        <w:top w:val="none" w:sz="0" w:space="0" w:color="auto"/>
        <w:left w:val="none" w:sz="0" w:space="0" w:color="auto"/>
        <w:bottom w:val="none" w:sz="0" w:space="0" w:color="auto"/>
        <w:right w:val="none" w:sz="0" w:space="0" w:color="auto"/>
      </w:divBdr>
    </w:div>
    <w:div w:id="466895501">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sChild>
        <w:div w:id="941229756">
          <w:blockQuote w:val="1"/>
          <w:marLeft w:val="600"/>
          <w:marRight w:val="0"/>
          <w:marTop w:val="120"/>
          <w:marBottom w:val="120"/>
          <w:divBdr>
            <w:top w:val="none" w:sz="0" w:space="0" w:color="auto"/>
            <w:left w:val="none" w:sz="0" w:space="0" w:color="auto"/>
            <w:bottom w:val="none" w:sz="0" w:space="0" w:color="auto"/>
            <w:right w:val="none" w:sz="0" w:space="0" w:color="auto"/>
          </w:divBdr>
        </w:div>
        <w:div w:id="1991714442">
          <w:blockQuote w:val="1"/>
          <w:marLeft w:val="600"/>
          <w:marRight w:val="0"/>
          <w:marTop w:val="120"/>
          <w:marBottom w:val="120"/>
          <w:divBdr>
            <w:top w:val="none" w:sz="0" w:space="0" w:color="auto"/>
            <w:left w:val="none" w:sz="0" w:space="0" w:color="auto"/>
            <w:bottom w:val="none" w:sz="0" w:space="0" w:color="auto"/>
            <w:right w:val="none" w:sz="0" w:space="0" w:color="auto"/>
          </w:divBdr>
        </w:div>
        <w:div w:id="3662268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3277129">
      <w:bodyDiv w:val="1"/>
      <w:marLeft w:val="0"/>
      <w:marRight w:val="0"/>
      <w:marTop w:val="0"/>
      <w:marBottom w:val="0"/>
      <w:divBdr>
        <w:top w:val="none" w:sz="0" w:space="0" w:color="auto"/>
        <w:left w:val="none" w:sz="0" w:space="0" w:color="auto"/>
        <w:bottom w:val="none" w:sz="0" w:space="0" w:color="auto"/>
        <w:right w:val="none" w:sz="0" w:space="0" w:color="auto"/>
      </w:divBdr>
      <w:divsChild>
        <w:div w:id="234124097">
          <w:marLeft w:val="547"/>
          <w:marRight w:val="0"/>
          <w:marTop w:val="0"/>
          <w:marBottom w:val="0"/>
          <w:divBdr>
            <w:top w:val="none" w:sz="0" w:space="0" w:color="auto"/>
            <w:left w:val="none" w:sz="0" w:space="0" w:color="auto"/>
            <w:bottom w:val="none" w:sz="0" w:space="0" w:color="auto"/>
            <w:right w:val="none" w:sz="0" w:space="0" w:color="auto"/>
          </w:divBdr>
        </w:div>
      </w:divsChild>
    </w:div>
    <w:div w:id="532962123">
      <w:bodyDiv w:val="1"/>
      <w:marLeft w:val="0"/>
      <w:marRight w:val="0"/>
      <w:marTop w:val="0"/>
      <w:marBottom w:val="0"/>
      <w:divBdr>
        <w:top w:val="none" w:sz="0" w:space="0" w:color="auto"/>
        <w:left w:val="none" w:sz="0" w:space="0" w:color="auto"/>
        <w:bottom w:val="none" w:sz="0" w:space="0" w:color="auto"/>
        <w:right w:val="none" w:sz="0" w:space="0" w:color="auto"/>
      </w:divBdr>
      <w:divsChild>
        <w:div w:id="2006547709">
          <w:marLeft w:val="547"/>
          <w:marRight w:val="0"/>
          <w:marTop w:val="0"/>
          <w:marBottom w:val="0"/>
          <w:divBdr>
            <w:top w:val="none" w:sz="0" w:space="0" w:color="auto"/>
            <w:left w:val="none" w:sz="0" w:space="0" w:color="auto"/>
            <w:bottom w:val="none" w:sz="0" w:space="0" w:color="auto"/>
            <w:right w:val="none" w:sz="0" w:space="0" w:color="auto"/>
          </w:divBdr>
        </w:div>
      </w:divsChild>
    </w:div>
    <w:div w:id="559291860">
      <w:bodyDiv w:val="1"/>
      <w:marLeft w:val="0"/>
      <w:marRight w:val="0"/>
      <w:marTop w:val="0"/>
      <w:marBottom w:val="0"/>
      <w:divBdr>
        <w:top w:val="none" w:sz="0" w:space="0" w:color="auto"/>
        <w:left w:val="none" w:sz="0" w:space="0" w:color="auto"/>
        <w:bottom w:val="none" w:sz="0" w:space="0" w:color="auto"/>
        <w:right w:val="none" w:sz="0" w:space="0" w:color="auto"/>
      </w:divBdr>
    </w:div>
    <w:div w:id="607735258">
      <w:bodyDiv w:val="1"/>
      <w:marLeft w:val="0"/>
      <w:marRight w:val="0"/>
      <w:marTop w:val="0"/>
      <w:marBottom w:val="0"/>
      <w:divBdr>
        <w:top w:val="none" w:sz="0" w:space="0" w:color="auto"/>
        <w:left w:val="none" w:sz="0" w:space="0" w:color="auto"/>
        <w:bottom w:val="none" w:sz="0" w:space="0" w:color="auto"/>
        <w:right w:val="none" w:sz="0" w:space="0" w:color="auto"/>
      </w:divBdr>
    </w:div>
    <w:div w:id="656570849">
      <w:bodyDiv w:val="1"/>
      <w:marLeft w:val="0"/>
      <w:marRight w:val="0"/>
      <w:marTop w:val="0"/>
      <w:marBottom w:val="0"/>
      <w:divBdr>
        <w:top w:val="none" w:sz="0" w:space="0" w:color="auto"/>
        <w:left w:val="none" w:sz="0" w:space="0" w:color="auto"/>
        <w:bottom w:val="none" w:sz="0" w:space="0" w:color="auto"/>
        <w:right w:val="none" w:sz="0" w:space="0" w:color="auto"/>
      </w:divBdr>
    </w:div>
    <w:div w:id="658314426">
      <w:bodyDiv w:val="1"/>
      <w:marLeft w:val="0"/>
      <w:marRight w:val="0"/>
      <w:marTop w:val="0"/>
      <w:marBottom w:val="0"/>
      <w:divBdr>
        <w:top w:val="none" w:sz="0" w:space="0" w:color="auto"/>
        <w:left w:val="none" w:sz="0" w:space="0" w:color="auto"/>
        <w:bottom w:val="none" w:sz="0" w:space="0" w:color="auto"/>
        <w:right w:val="none" w:sz="0" w:space="0" w:color="auto"/>
      </w:divBdr>
      <w:divsChild>
        <w:div w:id="505756130">
          <w:marLeft w:val="547"/>
          <w:marRight w:val="0"/>
          <w:marTop w:val="0"/>
          <w:marBottom w:val="0"/>
          <w:divBdr>
            <w:top w:val="none" w:sz="0" w:space="0" w:color="auto"/>
            <w:left w:val="none" w:sz="0" w:space="0" w:color="auto"/>
            <w:bottom w:val="none" w:sz="0" w:space="0" w:color="auto"/>
            <w:right w:val="none" w:sz="0" w:space="0" w:color="auto"/>
          </w:divBdr>
        </w:div>
      </w:divsChild>
    </w:div>
    <w:div w:id="704603387">
      <w:bodyDiv w:val="1"/>
      <w:marLeft w:val="0"/>
      <w:marRight w:val="0"/>
      <w:marTop w:val="0"/>
      <w:marBottom w:val="0"/>
      <w:divBdr>
        <w:top w:val="none" w:sz="0" w:space="0" w:color="auto"/>
        <w:left w:val="none" w:sz="0" w:space="0" w:color="auto"/>
        <w:bottom w:val="none" w:sz="0" w:space="0" w:color="auto"/>
        <w:right w:val="none" w:sz="0" w:space="0" w:color="auto"/>
      </w:divBdr>
    </w:div>
    <w:div w:id="828061060">
      <w:bodyDiv w:val="1"/>
      <w:marLeft w:val="0"/>
      <w:marRight w:val="0"/>
      <w:marTop w:val="0"/>
      <w:marBottom w:val="0"/>
      <w:divBdr>
        <w:top w:val="none" w:sz="0" w:space="0" w:color="auto"/>
        <w:left w:val="none" w:sz="0" w:space="0" w:color="auto"/>
        <w:bottom w:val="none" w:sz="0" w:space="0" w:color="auto"/>
        <w:right w:val="none" w:sz="0" w:space="0" w:color="auto"/>
      </w:divBdr>
    </w:div>
    <w:div w:id="861168512">
      <w:bodyDiv w:val="1"/>
      <w:marLeft w:val="0"/>
      <w:marRight w:val="0"/>
      <w:marTop w:val="0"/>
      <w:marBottom w:val="0"/>
      <w:divBdr>
        <w:top w:val="none" w:sz="0" w:space="0" w:color="auto"/>
        <w:left w:val="none" w:sz="0" w:space="0" w:color="auto"/>
        <w:bottom w:val="none" w:sz="0" w:space="0" w:color="auto"/>
        <w:right w:val="none" w:sz="0" w:space="0" w:color="auto"/>
      </w:divBdr>
      <w:divsChild>
        <w:div w:id="1951203771">
          <w:marLeft w:val="547"/>
          <w:marRight w:val="0"/>
          <w:marTop w:val="0"/>
          <w:marBottom w:val="0"/>
          <w:divBdr>
            <w:top w:val="none" w:sz="0" w:space="0" w:color="auto"/>
            <w:left w:val="none" w:sz="0" w:space="0" w:color="auto"/>
            <w:bottom w:val="none" w:sz="0" w:space="0" w:color="auto"/>
            <w:right w:val="none" w:sz="0" w:space="0" w:color="auto"/>
          </w:divBdr>
        </w:div>
        <w:div w:id="1154490162">
          <w:marLeft w:val="547"/>
          <w:marRight w:val="0"/>
          <w:marTop w:val="0"/>
          <w:marBottom w:val="0"/>
          <w:divBdr>
            <w:top w:val="none" w:sz="0" w:space="0" w:color="auto"/>
            <w:left w:val="none" w:sz="0" w:space="0" w:color="auto"/>
            <w:bottom w:val="none" w:sz="0" w:space="0" w:color="auto"/>
            <w:right w:val="none" w:sz="0" w:space="0" w:color="auto"/>
          </w:divBdr>
        </w:div>
        <w:div w:id="1093278554">
          <w:marLeft w:val="547"/>
          <w:marRight w:val="0"/>
          <w:marTop w:val="0"/>
          <w:marBottom w:val="0"/>
          <w:divBdr>
            <w:top w:val="none" w:sz="0" w:space="0" w:color="auto"/>
            <w:left w:val="none" w:sz="0" w:space="0" w:color="auto"/>
            <w:bottom w:val="none" w:sz="0" w:space="0" w:color="auto"/>
            <w:right w:val="none" w:sz="0" w:space="0" w:color="auto"/>
          </w:divBdr>
        </w:div>
        <w:div w:id="536429782">
          <w:marLeft w:val="547"/>
          <w:marRight w:val="0"/>
          <w:marTop w:val="0"/>
          <w:marBottom w:val="0"/>
          <w:divBdr>
            <w:top w:val="none" w:sz="0" w:space="0" w:color="auto"/>
            <w:left w:val="none" w:sz="0" w:space="0" w:color="auto"/>
            <w:bottom w:val="none" w:sz="0" w:space="0" w:color="auto"/>
            <w:right w:val="none" w:sz="0" w:space="0" w:color="auto"/>
          </w:divBdr>
        </w:div>
        <w:div w:id="1151093580">
          <w:marLeft w:val="547"/>
          <w:marRight w:val="0"/>
          <w:marTop w:val="0"/>
          <w:marBottom w:val="0"/>
          <w:divBdr>
            <w:top w:val="none" w:sz="0" w:space="0" w:color="auto"/>
            <w:left w:val="none" w:sz="0" w:space="0" w:color="auto"/>
            <w:bottom w:val="none" w:sz="0" w:space="0" w:color="auto"/>
            <w:right w:val="none" w:sz="0" w:space="0" w:color="auto"/>
          </w:divBdr>
        </w:div>
        <w:div w:id="550927294">
          <w:marLeft w:val="547"/>
          <w:marRight w:val="0"/>
          <w:marTop w:val="0"/>
          <w:marBottom w:val="0"/>
          <w:divBdr>
            <w:top w:val="none" w:sz="0" w:space="0" w:color="auto"/>
            <w:left w:val="none" w:sz="0" w:space="0" w:color="auto"/>
            <w:bottom w:val="none" w:sz="0" w:space="0" w:color="auto"/>
            <w:right w:val="none" w:sz="0" w:space="0" w:color="auto"/>
          </w:divBdr>
        </w:div>
        <w:div w:id="29845651">
          <w:marLeft w:val="547"/>
          <w:marRight w:val="0"/>
          <w:marTop w:val="0"/>
          <w:marBottom w:val="0"/>
          <w:divBdr>
            <w:top w:val="none" w:sz="0" w:space="0" w:color="auto"/>
            <w:left w:val="none" w:sz="0" w:space="0" w:color="auto"/>
            <w:bottom w:val="none" w:sz="0" w:space="0" w:color="auto"/>
            <w:right w:val="none" w:sz="0" w:space="0" w:color="auto"/>
          </w:divBdr>
        </w:div>
        <w:div w:id="361983785">
          <w:marLeft w:val="547"/>
          <w:marRight w:val="0"/>
          <w:marTop w:val="0"/>
          <w:marBottom w:val="0"/>
          <w:divBdr>
            <w:top w:val="none" w:sz="0" w:space="0" w:color="auto"/>
            <w:left w:val="none" w:sz="0" w:space="0" w:color="auto"/>
            <w:bottom w:val="none" w:sz="0" w:space="0" w:color="auto"/>
            <w:right w:val="none" w:sz="0" w:space="0" w:color="auto"/>
          </w:divBdr>
        </w:div>
      </w:divsChild>
    </w:div>
    <w:div w:id="864756837">
      <w:bodyDiv w:val="1"/>
      <w:marLeft w:val="0"/>
      <w:marRight w:val="0"/>
      <w:marTop w:val="0"/>
      <w:marBottom w:val="0"/>
      <w:divBdr>
        <w:top w:val="none" w:sz="0" w:space="0" w:color="auto"/>
        <w:left w:val="none" w:sz="0" w:space="0" w:color="auto"/>
        <w:bottom w:val="none" w:sz="0" w:space="0" w:color="auto"/>
        <w:right w:val="none" w:sz="0" w:space="0" w:color="auto"/>
      </w:divBdr>
      <w:divsChild>
        <w:div w:id="21444406">
          <w:marLeft w:val="446"/>
          <w:marRight w:val="0"/>
          <w:marTop w:val="0"/>
          <w:marBottom w:val="0"/>
          <w:divBdr>
            <w:top w:val="none" w:sz="0" w:space="0" w:color="auto"/>
            <w:left w:val="none" w:sz="0" w:space="0" w:color="auto"/>
            <w:bottom w:val="none" w:sz="0" w:space="0" w:color="auto"/>
            <w:right w:val="none" w:sz="0" w:space="0" w:color="auto"/>
          </w:divBdr>
        </w:div>
      </w:divsChild>
    </w:div>
    <w:div w:id="939029612">
      <w:bodyDiv w:val="1"/>
      <w:marLeft w:val="0"/>
      <w:marRight w:val="0"/>
      <w:marTop w:val="0"/>
      <w:marBottom w:val="0"/>
      <w:divBdr>
        <w:top w:val="none" w:sz="0" w:space="0" w:color="auto"/>
        <w:left w:val="none" w:sz="0" w:space="0" w:color="auto"/>
        <w:bottom w:val="none" w:sz="0" w:space="0" w:color="auto"/>
        <w:right w:val="none" w:sz="0" w:space="0" w:color="auto"/>
      </w:divBdr>
    </w:div>
    <w:div w:id="948463389">
      <w:bodyDiv w:val="1"/>
      <w:marLeft w:val="0"/>
      <w:marRight w:val="0"/>
      <w:marTop w:val="0"/>
      <w:marBottom w:val="0"/>
      <w:divBdr>
        <w:top w:val="none" w:sz="0" w:space="0" w:color="auto"/>
        <w:left w:val="none" w:sz="0" w:space="0" w:color="auto"/>
        <w:bottom w:val="none" w:sz="0" w:space="0" w:color="auto"/>
        <w:right w:val="none" w:sz="0" w:space="0" w:color="auto"/>
      </w:divBdr>
    </w:div>
    <w:div w:id="995304580">
      <w:bodyDiv w:val="1"/>
      <w:marLeft w:val="0"/>
      <w:marRight w:val="0"/>
      <w:marTop w:val="0"/>
      <w:marBottom w:val="0"/>
      <w:divBdr>
        <w:top w:val="none" w:sz="0" w:space="0" w:color="auto"/>
        <w:left w:val="none" w:sz="0" w:space="0" w:color="auto"/>
        <w:bottom w:val="none" w:sz="0" w:space="0" w:color="auto"/>
        <w:right w:val="none" w:sz="0" w:space="0" w:color="auto"/>
      </w:divBdr>
      <w:divsChild>
        <w:div w:id="1675305361">
          <w:marLeft w:val="547"/>
          <w:marRight w:val="0"/>
          <w:marTop w:val="120"/>
          <w:marBottom w:val="120"/>
          <w:divBdr>
            <w:top w:val="none" w:sz="0" w:space="0" w:color="auto"/>
            <w:left w:val="none" w:sz="0" w:space="0" w:color="auto"/>
            <w:bottom w:val="none" w:sz="0" w:space="0" w:color="auto"/>
            <w:right w:val="none" w:sz="0" w:space="0" w:color="auto"/>
          </w:divBdr>
        </w:div>
        <w:div w:id="1479690749">
          <w:marLeft w:val="547"/>
          <w:marRight w:val="0"/>
          <w:marTop w:val="120"/>
          <w:marBottom w:val="120"/>
          <w:divBdr>
            <w:top w:val="none" w:sz="0" w:space="0" w:color="auto"/>
            <w:left w:val="none" w:sz="0" w:space="0" w:color="auto"/>
            <w:bottom w:val="none" w:sz="0" w:space="0" w:color="auto"/>
            <w:right w:val="none" w:sz="0" w:space="0" w:color="auto"/>
          </w:divBdr>
        </w:div>
        <w:div w:id="112486786">
          <w:marLeft w:val="547"/>
          <w:marRight w:val="0"/>
          <w:marTop w:val="120"/>
          <w:marBottom w:val="120"/>
          <w:divBdr>
            <w:top w:val="none" w:sz="0" w:space="0" w:color="auto"/>
            <w:left w:val="none" w:sz="0" w:space="0" w:color="auto"/>
            <w:bottom w:val="none" w:sz="0" w:space="0" w:color="auto"/>
            <w:right w:val="none" w:sz="0" w:space="0" w:color="auto"/>
          </w:divBdr>
        </w:div>
        <w:div w:id="1210263389">
          <w:marLeft w:val="547"/>
          <w:marRight w:val="0"/>
          <w:marTop w:val="120"/>
          <w:marBottom w:val="120"/>
          <w:divBdr>
            <w:top w:val="none" w:sz="0" w:space="0" w:color="auto"/>
            <w:left w:val="none" w:sz="0" w:space="0" w:color="auto"/>
            <w:bottom w:val="none" w:sz="0" w:space="0" w:color="auto"/>
            <w:right w:val="none" w:sz="0" w:space="0" w:color="auto"/>
          </w:divBdr>
        </w:div>
        <w:div w:id="706758589">
          <w:marLeft w:val="547"/>
          <w:marRight w:val="0"/>
          <w:marTop w:val="120"/>
          <w:marBottom w:val="120"/>
          <w:divBdr>
            <w:top w:val="none" w:sz="0" w:space="0" w:color="auto"/>
            <w:left w:val="none" w:sz="0" w:space="0" w:color="auto"/>
            <w:bottom w:val="none" w:sz="0" w:space="0" w:color="auto"/>
            <w:right w:val="none" w:sz="0" w:space="0" w:color="auto"/>
          </w:divBdr>
        </w:div>
        <w:div w:id="1111824866">
          <w:marLeft w:val="547"/>
          <w:marRight w:val="0"/>
          <w:marTop w:val="120"/>
          <w:marBottom w:val="120"/>
          <w:divBdr>
            <w:top w:val="none" w:sz="0" w:space="0" w:color="auto"/>
            <w:left w:val="none" w:sz="0" w:space="0" w:color="auto"/>
            <w:bottom w:val="none" w:sz="0" w:space="0" w:color="auto"/>
            <w:right w:val="none" w:sz="0" w:space="0" w:color="auto"/>
          </w:divBdr>
        </w:div>
        <w:div w:id="1930112090">
          <w:marLeft w:val="547"/>
          <w:marRight w:val="0"/>
          <w:marTop w:val="120"/>
          <w:marBottom w:val="120"/>
          <w:divBdr>
            <w:top w:val="none" w:sz="0" w:space="0" w:color="auto"/>
            <w:left w:val="none" w:sz="0" w:space="0" w:color="auto"/>
            <w:bottom w:val="none" w:sz="0" w:space="0" w:color="auto"/>
            <w:right w:val="none" w:sz="0" w:space="0" w:color="auto"/>
          </w:divBdr>
        </w:div>
        <w:div w:id="2084184282">
          <w:marLeft w:val="547"/>
          <w:marRight w:val="0"/>
          <w:marTop w:val="120"/>
          <w:marBottom w:val="120"/>
          <w:divBdr>
            <w:top w:val="none" w:sz="0" w:space="0" w:color="auto"/>
            <w:left w:val="none" w:sz="0" w:space="0" w:color="auto"/>
            <w:bottom w:val="none" w:sz="0" w:space="0" w:color="auto"/>
            <w:right w:val="none" w:sz="0" w:space="0" w:color="auto"/>
          </w:divBdr>
        </w:div>
        <w:div w:id="1752967974">
          <w:marLeft w:val="547"/>
          <w:marRight w:val="0"/>
          <w:marTop w:val="120"/>
          <w:marBottom w:val="120"/>
          <w:divBdr>
            <w:top w:val="none" w:sz="0" w:space="0" w:color="auto"/>
            <w:left w:val="none" w:sz="0" w:space="0" w:color="auto"/>
            <w:bottom w:val="none" w:sz="0" w:space="0" w:color="auto"/>
            <w:right w:val="none" w:sz="0" w:space="0" w:color="auto"/>
          </w:divBdr>
        </w:div>
        <w:div w:id="2015840916">
          <w:marLeft w:val="547"/>
          <w:marRight w:val="0"/>
          <w:marTop w:val="120"/>
          <w:marBottom w:val="120"/>
          <w:divBdr>
            <w:top w:val="none" w:sz="0" w:space="0" w:color="auto"/>
            <w:left w:val="none" w:sz="0" w:space="0" w:color="auto"/>
            <w:bottom w:val="none" w:sz="0" w:space="0" w:color="auto"/>
            <w:right w:val="none" w:sz="0" w:space="0" w:color="auto"/>
          </w:divBdr>
        </w:div>
        <w:div w:id="769130712">
          <w:marLeft w:val="547"/>
          <w:marRight w:val="0"/>
          <w:marTop w:val="120"/>
          <w:marBottom w:val="120"/>
          <w:divBdr>
            <w:top w:val="none" w:sz="0" w:space="0" w:color="auto"/>
            <w:left w:val="none" w:sz="0" w:space="0" w:color="auto"/>
            <w:bottom w:val="none" w:sz="0" w:space="0" w:color="auto"/>
            <w:right w:val="none" w:sz="0" w:space="0" w:color="auto"/>
          </w:divBdr>
        </w:div>
        <w:div w:id="1641227702">
          <w:marLeft w:val="547"/>
          <w:marRight w:val="0"/>
          <w:marTop w:val="120"/>
          <w:marBottom w:val="120"/>
          <w:divBdr>
            <w:top w:val="none" w:sz="0" w:space="0" w:color="auto"/>
            <w:left w:val="none" w:sz="0" w:space="0" w:color="auto"/>
            <w:bottom w:val="none" w:sz="0" w:space="0" w:color="auto"/>
            <w:right w:val="none" w:sz="0" w:space="0" w:color="auto"/>
          </w:divBdr>
        </w:div>
        <w:div w:id="1144001785">
          <w:marLeft w:val="547"/>
          <w:marRight w:val="0"/>
          <w:marTop w:val="120"/>
          <w:marBottom w:val="120"/>
          <w:divBdr>
            <w:top w:val="none" w:sz="0" w:space="0" w:color="auto"/>
            <w:left w:val="none" w:sz="0" w:space="0" w:color="auto"/>
            <w:bottom w:val="none" w:sz="0" w:space="0" w:color="auto"/>
            <w:right w:val="none" w:sz="0" w:space="0" w:color="auto"/>
          </w:divBdr>
        </w:div>
        <w:div w:id="734933556">
          <w:marLeft w:val="547"/>
          <w:marRight w:val="0"/>
          <w:marTop w:val="120"/>
          <w:marBottom w:val="120"/>
          <w:divBdr>
            <w:top w:val="none" w:sz="0" w:space="0" w:color="auto"/>
            <w:left w:val="none" w:sz="0" w:space="0" w:color="auto"/>
            <w:bottom w:val="none" w:sz="0" w:space="0" w:color="auto"/>
            <w:right w:val="none" w:sz="0" w:space="0" w:color="auto"/>
          </w:divBdr>
        </w:div>
        <w:div w:id="487789525">
          <w:marLeft w:val="547"/>
          <w:marRight w:val="0"/>
          <w:marTop w:val="120"/>
          <w:marBottom w:val="120"/>
          <w:divBdr>
            <w:top w:val="none" w:sz="0" w:space="0" w:color="auto"/>
            <w:left w:val="none" w:sz="0" w:space="0" w:color="auto"/>
            <w:bottom w:val="none" w:sz="0" w:space="0" w:color="auto"/>
            <w:right w:val="none" w:sz="0" w:space="0" w:color="auto"/>
          </w:divBdr>
        </w:div>
        <w:div w:id="1296762665">
          <w:marLeft w:val="547"/>
          <w:marRight w:val="0"/>
          <w:marTop w:val="120"/>
          <w:marBottom w:val="120"/>
          <w:divBdr>
            <w:top w:val="none" w:sz="0" w:space="0" w:color="auto"/>
            <w:left w:val="none" w:sz="0" w:space="0" w:color="auto"/>
            <w:bottom w:val="none" w:sz="0" w:space="0" w:color="auto"/>
            <w:right w:val="none" w:sz="0" w:space="0" w:color="auto"/>
          </w:divBdr>
        </w:div>
        <w:div w:id="664014553">
          <w:marLeft w:val="547"/>
          <w:marRight w:val="0"/>
          <w:marTop w:val="120"/>
          <w:marBottom w:val="120"/>
          <w:divBdr>
            <w:top w:val="none" w:sz="0" w:space="0" w:color="auto"/>
            <w:left w:val="none" w:sz="0" w:space="0" w:color="auto"/>
            <w:bottom w:val="none" w:sz="0" w:space="0" w:color="auto"/>
            <w:right w:val="none" w:sz="0" w:space="0" w:color="auto"/>
          </w:divBdr>
        </w:div>
        <w:div w:id="539320696">
          <w:marLeft w:val="547"/>
          <w:marRight w:val="0"/>
          <w:marTop w:val="120"/>
          <w:marBottom w:val="120"/>
          <w:divBdr>
            <w:top w:val="none" w:sz="0" w:space="0" w:color="auto"/>
            <w:left w:val="none" w:sz="0" w:space="0" w:color="auto"/>
            <w:bottom w:val="none" w:sz="0" w:space="0" w:color="auto"/>
            <w:right w:val="none" w:sz="0" w:space="0" w:color="auto"/>
          </w:divBdr>
        </w:div>
        <w:div w:id="1524322570">
          <w:marLeft w:val="547"/>
          <w:marRight w:val="0"/>
          <w:marTop w:val="120"/>
          <w:marBottom w:val="120"/>
          <w:divBdr>
            <w:top w:val="none" w:sz="0" w:space="0" w:color="auto"/>
            <w:left w:val="none" w:sz="0" w:space="0" w:color="auto"/>
            <w:bottom w:val="none" w:sz="0" w:space="0" w:color="auto"/>
            <w:right w:val="none" w:sz="0" w:space="0" w:color="auto"/>
          </w:divBdr>
        </w:div>
        <w:div w:id="471021264">
          <w:marLeft w:val="547"/>
          <w:marRight w:val="0"/>
          <w:marTop w:val="120"/>
          <w:marBottom w:val="120"/>
          <w:divBdr>
            <w:top w:val="none" w:sz="0" w:space="0" w:color="auto"/>
            <w:left w:val="none" w:sz="0" w:space="0" w:color="auto"/>
            <w:bottom w:val="none" w:sz="0" w:space="0" w:color="auto"/>
            <w:right w:val="none" w:sz="0" w:space="0" w:color="auto"/>
          </w:divBdr>
        </w:div>
        <w:div w:id="1696883597">
          <w:marLeft w:val="547"/>
          <w:marRight w:val="0"/>
          <w:marTop w:val="0"/>
          <w:marBottom w:val="0"/>
          <w:divBdr>
            <w:top w:val="none" w:sz="0" w:space="0" w:color="auto"/>
            <w:left w:val="none" w:sz="0" w:space="0" w:color="auto"/>
            <w:bottom w:val="none" w:sz="0" w:space="0" w:color="auto"/>
            <w:right w:val="none" w:sz="0" w:space="0" w:color="auto"/>
          </w:divBdr>
        </w:div>
      </w:divsChild>
    </w:div>
    <w:div w:id="999578860">
      <w:bodyDiv w:val="1"/>
      <w:marLeft w:val="0"/>
      <w:marRight w:val="0"/>
      <w:marTop w:val="0"/>
      <w:marBottom w:val="0"/>
      <w:divBdr>
        <w:top w:val="none" w:sz="0" w:space="0" w:color="auto"/>
        <w:left w:val="none" w:sz="0" w:space="0" w:color="auto"/>
        <w:bottom w:val="none" w:sz="0" w:space="0" w:color="auto"/>
        <w:right w:val="none" w:sz="0" w:space="0" w:color="auto"/>
      </w:divBdr>
    </w:div>
    <w:div w:id="1060517188">
      <w:bodyDiv w:val="1"/>
      <w:marLeft w:val="0"/>
      <w:marRight w:val="0"/>
      <w:marTop w:val="0"/>
      <w:marBottom w:val="0"/>
      <w:divBdr>
        <w:top w:val="none" w:sz="0" w:space="0" w:color="auto"/>
        <w:left w:val="none" w:sz="0" w:space="0" w:color="auto"/>
        <w:bottom w:val="none" w:sz="0" w:space="0" w:color="auto"/>
        <w:right w:val="none" w:sz="0" w:space="0" w:color="auto"/>
      </w:divBdr>
    </w:div>
    <w:div w:id="1137800284">
      <w:bodyDiv w:val="1"/>
      <w:marLeft w:val="0"/>
      <w:marRight w:val="0"/>
      <w:marTop w:val="0"/>
      <w:marBottom w:val="0"/>
      <w:divBdr>
        <w:top w:val="none" w:sz="0" w:space="0" w:color="auto"/>
        <w:left w:val="none" w:sz="0" w:space="0" w:color="auto"/>
        <w:bottom w:val="none" w:sz="0" w:space="0" w:color="auto"/>
        <w:right w:val="none" w:sz="0" w:space="0" w:color="auto"/>
      </w:divBdr>
    </w:div>
    <w:div w:id="1204251806">
      <w:bodyDiv w:val="1"/>
      <w:marLeft w:val="0"/>
      <w:marRight w:val="0"/>
      <w:marTop w:val="0"/>
      <w:marBottom w:val="0"/>
      <w:divBdr>
        <w:top w:val="none" w:sz="0" w:space="0" w:color="auto"/>
        <w:left w:val="none" w:sz="0" w:space="0" w:color="auto"/>
        <w:bottom w:val="none" w:sz="0" w:space="0" w:color="auto"/>
        <w:right w:val="none" w:sz="0" w:space="0" w:color="auto"/>
      </w:divBdr>
    </w:div>
    <w:div w:id="1263875842">
      <w:bodyDiv w:val="1"/>
      <w:marLeft w:val="0"/>
      <w:marRight w:val="0"/>
      <w:marTop w:val="0"/>
      <w:marBottom w:val="0"/>
      <w:divBdr>
        <w:top w:val="none" w:sz="0" w:space="0" w:color="auto"/>
        <w:left w:val="none" w:sz="0" w:space="0" w:color="auto"/>
        <w:bottom w:val="none" w:sz="0" w:space="0" w:color="auto"/>
        <w:right w:val="none" w:sz="0" w:space="0" w:color="auto"/>
      </w:divBdr>
    </w:div>
    <w:div w:id="1267420271">
      <w:bodyDiv w:val="1"/>
      <w:marLeft w:val="0"/>
      <w:marRight w:val="0"/>
      <w:marTop w:val="0"/>
      <w:marBottom w:val="0"/>
      <w:divBdr>
        <w:top w:val="none" w:sz="0" w:space="0" w:color="auto"/>
        <w:left w:val="none" w:sz="0" w:space="0" w:color="auto"/>
        <w:bottom w:val="none" w:sz="0" w:space="0" w:color="auto"/>
        <w:right w:val="none" w:sz="0" w:space="0" w:color="auto"/>
      </w:divBdr>
    </w:div>
    <w:div w:id="1295984008">
      <w:bodyDiv w:val="1"/>
      <w:marLeft w:val="0"/>
      <w:marRight w:val="0"/>
      <w:marTop w:val="0"/>
      <w:marBottom w:val="0"/>
      <w:divBdr>
        <w:top w:val="none" w:sz="0" w:space="0" w:color="auto"/>
        <w:left w:val="none" w:sz="0" w:space="0" w:color="auto"/>
        <w:bottom w:val="none" w:sz="0" w:space="0" w:color="auto"/>
        <w:right w:val="none" w:sz="0" w:space="0" w:color="auto"/>
      </w:divBdr>
    </w:div>
    <w:div w:id="1350718972">
      <w:bodyDiv w:val="1"/>
      <w:marLeft w:val="0"/>
      <w:marRight w:val="0"/>
      <w:marTop w:val="0"/>
      <w:marBottom w:val="0"/>
      <w:divBdr>
        <w:top w:val="none" w:sz="0" w:space="0" w:color="auto"/>
        <w:left w:val="none" w:sz="0" w:space="0" w:color="auto"/>
        <w:bottom w:val="none" w:sz="0" w:space="0" w:color="auto"/>
        <w:right w:val="none" w:sz="0" w:space="0" w:color="auto"/>
      </w:divBdr>
    </w:div>
    <w:div w:id="1443265737">
      <w:bodyDiv w:val="1"/>
      <w:marLeft w:val="0"/>
      <w:marRight w:val="0"/>
      <w:marTop w:val="0"/>
      <w:marBottom w:val="0"/>
      <w:divBdr>
        <w:top w:val="none" w:sz="0" w:space="0" w:color="auto"/>
        <w:left w:val="none" w:sz="0" w:space="0" w:color="auto"/>
        <w:bottom w:val="none" w:sz="0" w:space="0" w:color="auto"/>
        <w:right w:val="none" w:sz="0" w:space="0" w:color="auto"/>
      </w:divBdr>
    </w:div>
    <w:div w:id="1567455363">
      <w:bodyDiv w:val="1"/>
      <w:marLeft w:val="0"/>
      <w:marRight w:val="0"/>
      <w:marTop w:val="0"/>
      <w:marBottom w:val="0"/>
      <w:divBdr>
        <w:top w:val="none" w:sz="0" w:space="0" w:color="auto"/>
        <w:left w:val="none" w:sz="0" w:space="0" w:color="auto"/>
        <w:bottom w:val="none" w:sz="0" w:space="0" w:color="auto"/>
        <w:right w:val="none" w:sz="0" w:space="0" w:color="auto"/>
      </w:divBdr>
    </w:div>
    <w:div w:id="1569875468">
      <w:bodyDiv w:val="1"/>
      <w:marLeft w:val="0"/>
      <w:marRight w:val="0"/>
      <w:marTop w:val="0"/>
      <w:marBottom w:val="0"/>
      <w:divBdr>
        <w:top w:val="none" w:sz="0" w:space="0" w:color="auto"/>
        <w:left w:val="none" w:sz="0" w:space="0" w:color="auto"/>
        <w:bottom w:val="none" w:sz="0" w:space="0" w:color="auto"/>
        <w:right w:val="none" w:sz="0" w:space="0" w:color="auto"/>
      </w:divBdr>
      <w:divsChild>
        <w:div w:id="212619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834263">
      <w:bodyDiv w:val="1"/>
      <w:marLeft w:val="0"/>
      <w:marRight w:val="0"/>
      <w:marTop w:val="0"/>
      <w:marBottom w:val="0"/>
      <w:divBdr>
        <w:top w:val="none" w:sz="0" w:space="0" w:color="auto"/>
        <w:left w:val="none" w:sz="0" w:space="0" w:color="auto"/>
        <w:bottom w:val="none" w:sz="0" w:space="0" w:color="auto"/>
        <w:right w:val="none" w:sz="0" w:space="0" w:color="auto"/>
      </w:divBdr>
      <w:divsChild>
        <w:div w:id="140779495">
          <w:marLeft w:val="547"/>
          <w:marRight w:val="0"/>
          <w:marTop w:val="0"/>
          <w:marBottom w:val="0"/>
          <w:divBdr>
            <w:top w:val="none" w:sz="0" w:space="0" w:color="auto"/>
            <w:left w:val="none" w:sz="0" w:space="0" w:color="auto"/>
            <w:bottom w:val="none" w:sz="0" w:space="0" w:color="auto"/>
            <w:right w:val="none" w:sz="0" w:space="0" w:color="auto"/>
          </w:divBdr>
        </w:div>
      </w:divsChild>
    </w:div>
    <w:div w:id="1629431748">
      <w:bodyDiv w:val="1"/>
      <w:marLeft w:val="0"/>
      <w:marRight w:val="0"/>
      <w:marTop w:val="0"/>
      <w:marBottom w:val="0"/>
      <w:divBdr>
        <w:top w:val="none" w:sz="0" w:space="0" w:color="auto"/>
        <w:left w:val="none" w:sz="0" w:space="0" w:color="auto"/>
        <w:bottom w:val="none" w:sz="0" w:space="0" w:color="auto"/>
        <w:right w:val="none" w:sz="0" w:space="0" w:color="auto"/>
      </w:divBdr>
    </w:div>
    <w:div w:id="1646743510">
      <w:bodyDiv w:val="1"/>
      <w:marLeft w:val="0"/>
      <w:marRight w:val="0"/>
      <w:marTop w:val="0"/>
      <w:marBottom w:val="0"/>
      <w:divBdr>
        <w:top w:val="none" w:sz="0" w:space="0" w:color="auto"/>
        <w:left w:val="none" w:sz="0" w:space="0" w:color="auto"/>
        <w:bottom w:val="none" w:sz="0" w:space="0" w:color="auto"/>
        <w:right w:val="none" w:sz="0" w:space="0" w:color="auto"/>
      </w:divBdr>
    </w:div>
    <w:div w:id="1656497003">
      <w:bodyDiv w:val="1"/>
      <w:marLeft w:val="0"/>
      <w:marRight w:val="0"/>
      <w:marTop w:val="0"/>
      <w:marBottom w:val="0"/>
      <w:divBdr>
        <w:top w:val="none" w:sz="0" w:space="0" w:color="auto"/>
        <w:left w:val="none" w:sz="0" w:space="0" w:color="auto"/>
        <w:bottom w:val="none" w:sz="0" w:space="0" w:color="auto"/>
        <w:right w:val="none" w:sz="0" w:space="0" w:color="auto"/>
      </w:divBdr>
      <w:divsChild>
        <w:div w:id="1754936855">
          <w:marLeft w:val="547"/>
          <w:marRight w:val="0"/>
          <w:marTop w:val="0"/>
          <w:marBottom w:val="0"/>
          <w:divBdr>
            <w:top w:val="none" w:sz="0" w:space="0" w:color="auto"/>
            <w:left w:val="none" w:sz="0" w:space="0" w:color="auto"/>
            <w:bottom w:val="none" w:sz="0" w:space="0" w:color="auto"/>
            <w:right w:val="none" w:sz="0" w:space="0" w:color="auto"/>
          </w:divBdr>
        </w:div>
        <w:div w:id="482895322">
          <w:marLeft w:val="547"/>
          <w:marRight w:val="0"/>
          <w:marTop w:val="0"/>
          <w:marBottom w:val="0"/>
          <w:divBdr>
            <w:top w:val="none" w:sz="0" w:space="0" w:color="auto"/>
            <w:left w:val="none" w:sz="0" w:space="0" w:color="auto"/>
            <w:bottom w:val="none" w:sz="0" w:space="0" w:color="auto"/>
            <w:right w:val="none" w:sz="0" w:space="0" w:color="auto"/>
          </w:divBdr>
        </w:div>
        <w:div w:id="270211428">
          <w:marLeft w:val="547"/>
          <w:marRight w:val="0"/>
          <w:marTop w:val="0"/>
          <w:marBottom w:val="0"/>
          <w:divBdr>
            <w:top w:val="none" w:sz="0" w:space="0" w:color="auto"/>
            <w:left w:val="none" w:sz="0" w:space="0" w:color="auto"/>
            <w:bottom w:val="none" w:sz="0" w:space="0" w:color="auto"/>
            <w:right w:val="none" w:sz="0" w:space="0" w:color="auto"/>
          </w:divBdr>
        </w:div>
        <w:div w:id="229776222">
          <w:marLeft w:val="547"/>
          <w:marRight w:val="0"/>
          <w:marTop w:val="0"/>
          <w:marBottom w:val="0"/>
          <w:divBdr>
            <w:top w:val="none" w:sz="0" w:space="0" w:color="auto"/>
            <w:left w:val="none" w:sz="0" w:space="0" w:color="auto"/>
            <w:bottom w:val="none" w:sz="0" w:space="0" w:color="auto"/>
            <w:right w:val="none" w:sz="0" w:space="0" w:color="auto"/>
          </w:divBdr>
        </w:div>
      </w:divsChild>
    </w:div>
    <w:div w:id="1695379106">
      <w:bodyDiv w:val="1"/>
      <w:marLeft w:val="0"/>
      <w:marRight w:val="0"/>
      <w:marTop w:val="0"/>
      <w:marBottom w:val="0"/>
      <w:divBdr>
        <w:top w:val="none" w:sz="0" w:space="0" w:color="auto"/>
        <w:left w:val="none" w:sz="0" w:space="0" w:color="auto"/>
        <w:bottom w:val="none" w:sz="0" w:space="0" w:color="auto"/>
        <w:right w:val="none" w:sz="0" w:space="0" w:color="auto"/>
      </w:divBdr>
      <w:divsChild>
        <w:div w:id="1521047297">
          <w:marLeft w:val="547"/>
          <w:marRight w:val="0"/>
          <w:marTop w:val="0"/>
          <w:marBottom w:val="0"/>
          <w:divBdr>
            <w:top w:val="none" w:sz="0" w:space="0" w:color="auto"/>
            <w:left w:val="none" w:sz="0" w:space="0" w:color="auto"/>
            <w:bottom w:val="none" w:sz="0" w:space="0" w:color="auto"/>
            <w:right w:val="none" w:sz="0" w:space="0" w:color="auto"/>
          </w:divBdr>
        </w:div>
      </w:divsChild>
    </w:div>
    <w:div w:id="1745908679">
      <w:bodyDiv w:val="1"/>
      <w:marLeft w:val="0"/>
      <w:marRight w:val="0"/>
      <w:marTop w:val="0"/>
      <w:marBottom w:val="0"/>
      <w:divBdr>
        <w:top w:val="none" w:sz="0" w:space="0" w:color="auto"/>
        <w:left w:val="none" w:sz="0" w:space="0" w:color="auto"/>
        <w:bottom w:val="none" w:sz="0" w:space="0" w:color="auto"/>
        <w:right w:val="none" w:sz="0" w:space="0" w:color="auto"/>
      </w:divBdr>
    </w:div>
    <w:div w:id="1748764831">
      <w:bodyDiv w:val="1"/>
      <w:marLeft w:val="0"/>
      <w:marRight w:val="0"/>
      <w:marTop w:val="0"/>
      <w:marBottom w:val="0"/>
      <w:divBdr>
        <w:top w:val="none" w:sz="0" w:space="0" w:color="auto"/>
        <w:left w:val="none" w:sz="0" w:space="0" w:color="auto"/>
        <w:bottom w:val="none" w:sz="0" w:space="0" w:color="auto"/>
        <w:right w:val="none" w:sz="0" w:space="0" w:color="auto"/>
      </w:divBdr>
      <w:divsChild>
        <w:div w:id="776096601">
          <w:marLeft w:val="547"/>
          <w:marRight w:val="0"/>
          <w:marTop w:val="82"/>
          <w:marBottom w:val="120"/>
          <w:divBdr>
            <w:top w:val="none" w:sz="0" w:space="0" w:color="auto"/>
            <w:left w:val="none" w:sz="0" w:space="0" w:color="auto"/>
            <w:bottom w:val="none" w:sz="0" w:space="0" w:color="auto"/>
            <w:right w:val="none" w:sz="0" w:space="0" w:color="auto"/>
          </w:divBdr>
        </w:div>
        <w:div w:id="1196969418">
          <w:marLeft w:val="1166"/>
          <w:marRight w:val="0"/>
          <w:marTop w:val="72"/>
          <w:marBottom w:val="120"/>
          <w:divBdr>
            <w:top w:val="none" w:sz="0" w:space="0" w:color="auto"/>
            <w:left w:val="none" w:sz="0" w:space="0" w:color="auto"/>
            <w:bottom w:val="none" w:sz="0" w:space="0" w:color="auto"/>
            <w:right w:val="none" w:sz="0" w:space="0" w:color="auto"/>
          </w:divBdr>
        </w:div>
      </w:divsChild>
    </w:div>
    <w:div w:id="1761952400">
      <w:bodyDiv w:val="1"/>
      <w:marLeft w:val="0"/>
      <w:marRight w:val="0"/>
      <w:marTop w:val="0"/>
      <w:marBottom w:val="0"/>
      <w:divBdr>
        <w:top w:val="none" w:sz="0" w:space="0" w:color="auto"/>
        <w:left w:val="none" w:sz="0" w:space="0" w:color="auto"/>
        <w:bottom w:val="none" w:sz="0" w:space="0" w:color="auto"/>
        <w:right w:val="none" w:sz="0" w:space="0" w:color="auto"/>
      </w:divBdr>
    </w:div>
    <w:div w:id="1805388065">
      <w:bodyDiv w:val="1"/>
      <w:marLeft w:val="0"/>
      <w:marRight w:val="0"/>
      <w:marTop w:val="0"/>
      <w:marBottom w:val="0"/>
      <w:divBdr>
        <w:top w:val="none" w:sz="0" w:space="0" w:color="auto"/>
        <w:left w:val="none" w:sz="0" w:space="0" w:color="auto"/>
        <w:bottom w:val="none" w:sz="0" w:space="0" w:color="auto"/>
        <w:right w:val="none" w:sz="0" w:space="0" w:color="auto"/>
      </w:divBdr>
    </w:div>
    <w:div w:id="1889998413">
      <w:bodyDiv w:val="1"/>
      <w:marLeft w:val="0"/>
      <w:marRight w:val="0"/>
      <w:marTop w:val="0"/>
      <w:marBottom w:val="0"/>
      <w:divBdr>
        <w:top w:val="none" w:sz="0" w:space="0" w:color="auto"/>
        <w:left w:val="none" w:sz="0" w:space="0" w:color="auto"/>
        <w:bottom w:val="none" w:sz="0" w:space="0" w:color="auto"/>
        <w:right w:val="none" w:sz="0" w:space="0" w:color="auto"/>
      </w:divBdr>
      <w:divsChild>
        <w:div w:id="2133286591">
          <w:marLeft w:val="547"/>
          <w:marRight w:val="0"/>
          <w:marTop w:val="0"/>
          <w:marBottom w:val="0"/>
          <w:divBdr>
            <w:top w:val="none" w:sz="0" w:space="0" w:color="auto"/>
            <w:left w:val="none" w:sz="0" w:space="0" w:color="auto"/>
            <w:bottom w:val="none" w:sz="0" w:space="0" w:color="auto"/>
            <w:right w:val="none" w:sz="0" w:space="0" w:color="auto"/>
          </w:divBdr>
        </w:div>
        <w:div w:id="1295525955">
          <w:marLeft w:val="547"/>
          <w:marRight w:val="0"/>
          <w:marTop w:val="0"/>
          <w:marBottom w:val="0"/>
          <w:divBdr>
            <w:top w:val="none" w:sz="0" w:space="0" w:color="auto"/>
            <w:left w:val="none" w:sz="0" w:space="0" w:color="auto"/>
            <w:bottom w:val="none" w:sz="0" w:space="0" w:color="auto"/>
            <w:right w:val="none" w:sz="0" w:space="0" w:color="auto"/>
          </w:divBdr>
        </w:div>
        <w:div w:id="121313872">
          <w:marLeft w:val="547"/>
          <w:marRight w:val="0"/>
          <w:marTop w:val="0"/>
          <w:marBottom w:val="0"/>
          <w:divBdr>
            <w:top w:val="none" w:sz="0" w:space="0" w:color="auto"/>
            <w:left w:val="none" w:sz="0" w:space="0" w:color="auto"/>
            <w:bottom w:val="none" w:sz="0" w:space="0" w:color="auto"/>
            <w:right w:val="none" w:sz="0" w:space="0" w:color="auto"/>
          </w:divBdr>
        </w:div>
      </w:divsChild>
    </w:div>
    <w:div w:id="1900434097">
      <w:bodyDiv w:val="1"/>
      <w:marLeft w:val="0"/>
      <w:marRight w:val="0"/>
      <w:marTop w:val="0"/>
      <w:marBottom w:val="0"/>
      <w:divBdr>
        <w:top w:val="none" w:sz="0" w:space="0" w:color="auto"/>
        <w:left w:val="none" w:sz="0" w:space="0" w:color="auto"/>
        <w:bottom w:val="none" w:sz="0" w:space="0" w:color="auto"/>
        <w:right w:val="none" w:sz="0" w:space="0" w:color="auto"/>
      </w:divBdr>
    </w:div>
    <w:div w:id="1924946011">
      <w:bodyDiv w:val="1"/>
      <w:marLeft w:val="0"/>
      <w:marRight w:val="0"/>
      <w:marTop w:val="0"/>
      <w:marBottom w:val="0"/>
      <w:divBdr>
        <w:top w:val="none" w:sz="0" w:space="0" w:color="auto"/>
        <w:left w:val="none" w:sz="0" w:space="0" w:color="auto"/>
        <w:bottom w:val="none" w:sz="0" w:space="0" w:color="auto"/>
        <w:right w:val="none" w:sz="0" w:space="0" w:color="auto"/>
      </w:divBdr>
      <w:divsChild>
        <w:div w:id="1522670687">
          <w:marLeft w:val="547"/>
          <w:marRight w:val="0"/>
          <w:marTop w:val="0"/>
          <w:marBottom w:val="0"/>
          <w:divBdr>
            <w:top w:val="none" w:sz="0" w:space="0" w:color="auto"/>
            <w:left w:val="none" w:sz="0" w:space="0" w:color="auto"/>
            <w:bottom w:val="none" w:sz="0" w:space="0" w:color="auto"/>
            <w:right w:val="none" w:sz="0" w:space="0" w:color="auto"/>
          </w:divBdr>
        </w:div>
      </w:divsChild>
    </w:div>
    <w:div w:id="19813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c01.safelinks.protection.outlook.com/?url=https%3A%2F%2Fwww.qld.gov.au%2Ftransport%2Fregistration%2Fregister%2Fconditional%2Fabout-conditional&amp;data=02%7C01%7CRebecca.Michael%40racq.com.au%7C28d95399747449a4c78908d6235e328b%7Cb820cdba7d5f474582266715f26a5e8f%7C0%7C0%7C636735284915767337&amp;sdata=0wHDlmOcRB6kozhN5F2nvlwRsRoAmOck8nfcgPiYLPE%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0155-E93E-47BE-ABC3-31D33047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4835</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Budget Briefing</vt:lpstr>
    </vt:vector>
  </TitlesOfParts>
  <Company>RACQ</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Briefing</dc:title>
  <dc:creator>sfurze</dc:creator>
  <cp:lastModifiedBy>Willems, Grace</cp:lastModifiedBy>
  <cp:revision>7</cp:revision>
  <cp:lastPrinted>2019-09-02T05:33:00Z</cp:lastPrinted>
  <dcterms:created xsi:type="dcterms:W3CDTF">2020-07-02T23:30:00Z</dcterms:created>
  <dcterms:modified xsi:type="dcterms:W3CDTF">2020-07-03T02:53:00Z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235429-55d4-42a5-9796-6d2ae12d3032_Enabled">
    <vt:lpwstr>True</vt:lpwstr>
  </property>
  <property fmtid="{D5CDD505-2E9C-101B-9397-08002B2CF9AE}" pid="3" name="MSIP_Label_be235429-55d4-42a5-9796-6d2ae12d3032_SiteId">
    <vt:lpwstr>b820cdba-7d5f-4745-8226-6715f26a5e8f</vt:lpwstr>
  </property>
  <property fmtid="{D5CDD505-2E9C-101B-9397-08002B2CF9AE}" pid="4" name="MSIP_Label_be235429-55d4-42a5-9796-6d2ae12d3032_Owner">
    <vt:lpwstr>Grace.Willems@racq.com.au</vt:lpwstr>
  </property>
  <property fmtid="{D5CDD505-2E9C-101B-9397-08002B2CF9AE}" pid="5" name="MSIP_Label_be235429-55d4-42a5-9796-6d2ae12d3032_SetDate">
    <vt:lpwstr>2020-06-30T00:22:41.3695270Z</vt:lpwstr>
  </property>
  <property fmtid="{D5CDD505-2E9C-101B-9397-08002B2CF9AE}" pid="6" name="MSIP_Label_be235429-55d4-42a5-9796-6d2ae12d3032_Name">
    <vt:lpwstr>General Business</vt:lpwstr>
  </property>
  <property fmtid="{D5CDD505-2E9C-101B-9397-08002B2CF9AE}" pid="7" name="MSIP_Label_be235429-55d4-42a5-9796-6d2ae12d3032_Application">
    <vt:lpwstr>Microsoft Azure Information Protection</vt:lpwstr>
  </property>
  <property fmtid="{D5CDD505-2E9C-101B-9397-08002B2CF9AE}" pid="8" name="MSIP_Label_be235429-55d4-42a5-9796-6d2ae12d3032_ActionId">
    <vt:lpwstr>11dade10-0c82-4cdf-9297-83616b3f6017</vt:lpwstr>
  </property>
  <property fmtid="{D5CDD505-2E9C-101B-9397-08002B2CF9AE}" pid="9" name="MSIP_Label_be235429-55d4-42a5-9796-6d2ae12d3032_Extended_MSFT_Method">
    <vt:lpwstr>Automatic</vt:lpwstr>
  </property>
  <property fmtid="{D5CDD505-2E9C-101B-9397-08002B2CF9AE}" pid="10" name="Sensitivity">
    <vt:lpwstr>General Business</vt:lpwstr>
  </property>
</Properties>
</file>